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6831B" w14:textId="77777777" w:rsidR="00F52C07" w:rsidRDefault="00F52C07" w:rsidP="00F52C07">
      <w:pPr>
        <w:pStyle w:val="Standard"/>
        <w:jc w:val="center"/>
        <w:rPr>
          <w:rFonts w:ascii="Times New Roman" w:eastAsia="Times New Roman" w:hAnsi="Times New Roman"/>
          <w:b/>
        </w:rPr>
      </w:pPr>
    </w:p>
    <w:p w14:paraId="5AB08D6E" w14:textId="77777777" w:rsidR="00F52C07" w:rsidRDefault="00F52C07" w:rsidP="00F52C07">
      <w:pPr>
        <w:pStyle w:val="Standard"/>
        <w:jc w:val="center"/>
        <w:rPr>
          <w:rFonts w:ascii="Times New Roman" w:eastAsia="Times New Roman" w:hAnsi="Times New Roman"/>
          <w:b/>
        </w:rPr>
      </w:pPr>
      <w:r w:rsidRPr="00612BED">
        <w:rPr>
          <w:rFonts w:ascii="Times New Roman" w:eastAsia="Times New Roman" w:hAnsi="Times New Roman"/>
          <w:b/>
        </w:rPr>
        <w:t xml:space="preserve">EMENDA Nº </w:t>
      </w:r>
      <w:r>
        <w:rPr>
          <w:rFonts w:ascii="Times New Roman" w:eastAsia="Times New Roman" w:hAnsi="Times New Roman"/>
          <w:b/>
        </w:rPr>
        <w:t>52/2025</w:t>
      </w:r>
    </w:p>
    <w:p w14:paraId="422EA102" w14:textId="77777777" w:rsidR="00F52C07" w:rsidRDefault="00F52C07" w:rsidP="00F52C07">
      <w:pPr>
        <w:pStyle w:val="Standard"/>
        <w:jc w:val="center"/>
        <w:rPr>
          <w:rFonts w:ascii="Times New Roman" w:eastAsia="Times New Roman" w:hAnsi="Times New Roman"/>
          <w:b/>
        </w:rPr>
      </w:pPr>
      <w:r w:rsidRPr="00612BED">
        <w:rPr>
          <w:rFonts w:ascii="Times New Roman" w:eastAsia="Times New Roman" w:hAnsi="Times New Roman"/>
          <w:b/>
        </w:rPr>
        <w:t xml:space="preserve"> À LEI ORGÂNICA DO MUNICÍPIO DE SETE LAGOAS</w:t>
      </w:r>
    </w:p>
    <w:p w14:paraId="11E3A0B9" w14:textId="77777777" w:rsidR="00F52C07" w:rsidRDefault="00F52C07" w:rsidP="00F52C07">
      <w:pPr>
        <w:pStyle w:val="Standard"/>
        <w:jc w:val="center"/>
        <w:rPr>
          <w:rFonts w:ascii="Times New Roman" w:eastAsia="Times New Roman" w:hAnsi="Times New Roman"/>
          <w:b/>
        </w:rPr>
      </w:pPr>
    </w:p>
    <w:p w14:paraId="64998843" w14:textId="77777777" w:rsidR="00F52C07" w:rsidRDefault="00F52C07" w:rsidP="00F52C07">
      <w:pPr>
        <w:pStyle w:val="Standard"/>
        <w:jc w:val="center"/>
        <w:rPr>
          <w:rFonts w:ascii="Times New Roman" w:eastAsia="Times New Roman" w:hAnsi="Times New Roman"/>
          <w:b/>
        </w:rPr>
      </w:pPr>
    </w:p>
    <w:p w14:paraId="710D4EE0" w14:textId="77777777" w:rsidR="00F52C07" w:rsidRDefault="00F52C07" w:rsidP="00F52C07">
      <w:pPr>
        <w:pStyle w:val="Standard"/>
        <w:jc w:val="both"/>
        <w:rPr>
          <w:rFonts w:ascii="Times New Roman" w:eastAsia="Times New Roman" w:hAnsi="Times New Roman"/>
          <w:b/>
          <w:i/>
          <w:iCs/>
        </w:rPr>
      </w:pPr>
      <w:r>
        <w:rPr>
          <w:rFonts w:ascii="Times New Roman" w:eastAsia="Times New Roman" w:hAnsi="Times New Roman"/>
          <w:b/>
          <w:i/>
          <w:iCs/>
        </w:rPr>
        <w:t>A Mesa Diretora da Câmara Municipal de Sete Lagoas, nos termos do § 5º art. 74 da Lei Orgânica do Município de Sete Lagoas, em c/c ao art. 164 da Resolução nº 810/1995, Regimento Interno da Câmara Municipal de Sete Lagoas, promulga a seguinte emenda ao texto da Lei Orgânica do Município de Sete Lagoas:</w:t>
      </w:r>
    </w:p>
    <w:p w14:paraId="2697CDBB" w14:textId="77777777" w:rsidR="00F52C07" w:rsidRPr="00AE5F4B" w:rsidRDefault="00F52C07" w:rsidP="00F52C07">
      <w:pPr>
        <w:pStyle w:val="Standard"/>
        <w:jc w:val="both"/>
        <w:rPr>
          <w:rFonts w:ascii="Times New Roman" w:eastAsia="Times New Roman" w:hAnsi="Times New Roman"/>
          <w:b/>
          <w:i/>
          <w:iCs/>
        </w:rPr>
      </w:pPr>
    </w:p>
    <w:p w14:paraId="28BC3735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79EAF8A" w14:textId="77777777" w:rsidR="00F52C07" w:rsidRDefault="00F52C07" w:rsidP="00F52C07">
      <w:pPr>
        <w:pStyle w:val="SemEspaamento"/>
        <w:ind w:left="226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ACRESCENTA OS §§ 6º AO 13º AO ART. 239 E O ART. 280-A À LEI ORGÂNICA DO MUNICÍPIO DE SETE LAGOAS.</w:t>
      </w:r>
    </w:p>
    <w:p w14:paraId="7DC11F50" w14:textId="77777777" w:rsidR="00F52C07" w:rsidRDefault="00F52C07" w:rsidP="00F52C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B4CA0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1º Insere os §§ 6º ao 13º no Artigo 239 na Lei Orgânica do Município, com as seguintes redações:</w:t>
      </w:r>
    </w:p>
    <w:p w14:paraId="1C178D0A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E8A764C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“Art. 239 (...)</w:t>
      </w:r>
    </w:p>
    <w:p w14:paraId="30E92E42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CA05BFC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(...)</w:t>
      </w:r>
    </w:p>
    <w:p w14:paraId="2EF5D3BA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7C83FBE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§ 6º As emendas individuais ao projeto de lei orçamentária serão aprovadas até o limite de 2% (dois por cento) da receita corrente líquida realizada no exercício anterior ao do encaminhamento do projeto, sendo que a metade deste percentual será destinada a ações e serviços públicos de saúde, nos termos do § 9° do art. 166 da Constituição Federal.</w:t>
      </w:r>
    </w:p>
    <w:p w14:paraId="48422634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CC06BFD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§ 7º A execução do montante destinado a ações e serviços públicos de saúde previsto no parágrafo anterior, inclusive custeio, será computada para fins do cumprimento do disposto no inciso III do § 2º do art. 198 da Constituição Federal, vedada a destinação para pagamento de pessoal ou encargos sociais.</w:t>
      </w:r>
    </w:p>
    <w:p w14:paraId="6CFB8D3E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966768B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§ 8º É obrigatória a execução orçamentária e financeira das programações a que se refere o § 6º deste artigo, conforme os critérios para a execução equitativa da programação definidos na Lei de Diretrizes Orçamentárias.</w:t>
      </w:r>
    </w:p>
    <w:p w14:paraId="3ADE5F14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FF25F06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§ 9º Considera-se equitativa a execução das programações de caráter obrigatório que atenda de forma igualitária e impessoal às emendas apresentadas, independentemente da autoria.</w:t>
      </w:r>
    </w:p>
    <w:p w14:paraId="10346471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4FDEEE2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§ 10 As programações orçamentárias previstas no § 8º deste artigo não serão de execução obrigatória nos casos dos impedimentos de ordem técnica insuperáveis.</w:t>
      </w:r>
    </w:p>
    <w:p w14:paraId="5CC237E8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E79706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§ 11 Para fins de cumprimento do disposto nos §§ 6º e 8º deste artigo, os órgãos de execução deverão observar, nos termos da Lei de Diretrizes Orçamentárias, cronograma para análise e verificação de eventuais impedimentos das </w:t>
      </w: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programações e demais procedimentos necessários à viabilização da execução dos respectivos montantes.</w:t>
      </w:r>
    </w:p>
    <w:p w14:paraId="4C998F8E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A251447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§ 12 Os restos a pagar provenientes das programações orçamentárias previstas nos § 6º deste artigo poderão ser considerados para fins de cumprimento da execução financeira até o limite de 50% (cinquenta por cento) dos valores das emendas individuais.</w:t>
      </w:r>
    </w:p>
    <w:p w14:paraId="3B87AB87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ECC3BAC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§ 13 Se for verificado que a reestimativa da receita e da despesa poderá resultar no não cumprimento da meta de resultado fiscal estabelecida na Lei de Diretrizes Orçamentárias, o montante previsto para as emendas individuais poderá ser reduzido em índice igual ao incidente sobre o conjunto das despesas discricionárias.</w:t>
      </w:r>
    </w:p>
    <w:p w14:paraId="5C1A2952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2B027F2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(...)”</w:t>
      </w:r>
    </w:p>
    <w:p w14:paraId="6AF9641A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C821694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 Insere o artigo 280-B na Lei Orgânica do Município, com a seguinte redação:</w:t>
      </w:r>
    </w:p>
    <w:p w14:paraId="25A92394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4C6A953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i/>
          <w:iCs/>
          <w:sz w:val="24"/>
          <w:szCs w:val="24"/>
        </w:rPr>
        <w:t>Art. 280-B O disposto no § 6º do art. 239 da Lei Orgânica será cumprido progressivamente, da seguinte forma:</w:t>
      </w:r>
    </w:p>
    <w:p w14:paraId="345AB6B6" w14:textId="77777777" w:rsidR="00F52C07" w:rsidRDefault="00F52C07" w:rsidP="00F52C07">
      <w:pPr>
        <w:pStyle w:val="SemEspaamen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7202AA1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 – As programações incluídas por emendas individuais na Lei do Orçamento Anual para o exercício de 2026, serão aprovadas no limite de 0,5% (zero vírgula cinco por cento) da receita corrente líquida realizada no exercício anterior ao do encaminhado do Projeto de Lei do Orçamento Anual, sendo 50% (cinquenta por cento) desse percentual destinado a ações e serviços públicos de saúde; </w:t>
      </w:r>
    </w:p>
    <w:p w14:paraId="4810130B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BB75B73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II - As programações incluídas por emendas individuais na Lei do Orçamento Anual para o exercício de 2027, serão aprovadas no limite de 1% (um por cento) da receita corrente líquida realizada no exercício anterior ao do encaminhado do Projeto de Lei do Orçamento Anual, sendo 50% (cinquenta por cento) desse percentual destinado a ações e serviços públicos de saúde; </w:t>
      </w:r>
    </w:p>
    <w:p w14:paraId="343C0513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9B6983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III - As programações incluídas por emendas individuais na Lei do Orçamento Anual para o exercício de 2028, serão aprovadas no limite de 1,5% (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um vírgula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cinco por cento) da receita corrente líquida realizada no exercício anterior ao do encaminhado do Projeto de Lei do Orçamento Anual, sendo 50% (cinquenta por cento) desse percentual destinado a ações e serviços públicos de saúde; </w:t>
      </w:r>
    </w:p>
    <w:p w14:paraId="4E2BCEF5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1AF7D53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IV - As programações incluídas por emendas individuais na Lei do Orçamento Anual para o exercício de 2029 e para os exercícios seguintes serão aprovadas no limite e no percentual previstos no §6º do art. 239 da Lei Orgânica.”</w:t>
      </w:r>
    </w:p>
    <w:p w14:paraId="44679758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525DBAB" w14:textId="77777777" w:rsidR="00F52C07" w:rsidRDefault="00F52C07" w:rsidP="00F52C0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 Esta proposta de Emenda à Lei Orgânica entra em vigor na data de sua publicação.</w:t>
      </w:r>
    </w:p>
    <w:p w14:paraId="286911A7" w14:textId="77777777" w:rsidR="00F52C07" w:rsidRDefault="00F52C07" w:rsidP="00F52C07">
      <w:pPr>
        <w:pStyle w:val="western"/>
        <w:spacing w:before="0" w:after="0"/>
        <w:jc w:val="both"/>
      </w:pPr>
    </w:p>
    <w:p w14:paraId="61D70809" w14:textId="5D3FB8B7" w:rsidR="00F52C07" w:rsidRDefault="00F52C07" w:rsidP="00F52C07">
      <w:pPr>
        <w:pStyle w:val="western"/>
        <w:spacing w:before="0" w:after="0"/>
        <w:jc w:val="both"/>
      </w:pPr>
    </w:p>
    <w:p w14:paraId="709E21EA" w14:textId="77777777" w:rsidR="00F52C07" w:rsidRDefault="00F52C07" w:rsidP="00F52C07">
      <w:pPr>
        <w:pStyle w:val="western"/>
        <w:spacing w:before="0" w:after="0"/>
        <w:jc w:val="both"/>
      </w:pPr>
    </w:p>
    <w:p w14:paraId="115C2F58" w14:textId="77777777" w:rsidR="00F52C07" w:rsidRDefault="00F52C07" w:rsidP="00F52C07">
      <w:pPr>
        <w:pStyle w:val="western"/>
        <w:spacing w:before="0" w:after="0"/>
        <w:jc w:val="both"/>
      </w:pPr>
    </w:p>
    <w:p w14:paraId="1890EFEE" w14:textId="77777777" w:rsidR="00F52C07" w:rsidRPr="00065BDA" w:rsidRDefault="00F52C07" w:rsidP="00F52C07">
      <w:pPr>
        <w:pStyle w:val="western"/>
        <w:spacing w:before="0" w:after="0"/>
        <w:jc w:val="both"/>
      </w:pPr>
    </w:p>
    <w:p w14:paraId="0B513057" w14:textId="77777777" w:rsidR="00F52C07" w:rsidRPr="008A365C" w:rsidRDefault="00F52C07" w:rsidP="00F52C07">
      <w:pPr>
        <w:jc w:val="right"/>
        <w:rPr>
          <w:rFonts w:cs="Tahoma"/>
          <w:iCs/>
        </w:rPr>
      </w:pPr>
      <w:r>
        <w:rPr>
          <w:rFonts w:cs="Tahoma"/>
          <w:iCs/>
        </w:rPr>
        <w:lastRenderedPageBreak/>
        <w:t>Mesa diretora, Câmara</w:t>
      </w:r>
      <w:r w:rsidRPr="00065BDA">
        <w:rPr>
          <w:rFonts w:cs="Tahoma"/>
          <w:iCs/>
        </w:rPr>
        <w:t xml:space="preserve"> Munic</w:t>
      </w:r>
      <w:r>
        <w:rPr>
          <w:rFonts w:cs="Tahoma"/>
          <w:iCs/>
        </w:rPr>
        <w:t>ipal de Sete Lagoas, 30 de maio de 2025.</w:t>
      </w:r>
    </w:p>
    <w:p w14:paraId="44B839E5" w14:textId="77777777" w:rsidR="00F52C07" w:rsidRDefault="00F52C07" w:rsidP="00F52C07">
      <w:pPr>
        <w:spacing w:line="200" w:lineRule="atLeast"/>
        <w:jc w:val="both"/>
      </w:pPr>
    </w:p>
    <w:p w14:paraId="6A91DA2F" w14:textId="77777777" w:rsidR="00F52C07" w:rsidRDefault="00F52C07" w:rsidP="00F52C07">
      <w:pPr>
        <w:spacing w:line="200" w:lineRule="atLeast"/>
        <w:jc w:val="both"/>
      </w:pPr>
    </w:p>
    <w:p w14:paraId="67646C03" w14:textId="77777777" w:rsidR="00F52C07" w:rsidRDefault="00F52C07" w:rsidP="00F52C07">
      <w:pPr>
        <w:spacing w:line="200" w:lineRule="atLeast"/>
        <w:jc w:val="both"/>
      </w:pPr>
    </w:p>
    <w:p w14:paraId="1290AE52" w14:textId="77777777" w:rsidR="00F52C07" w:rsidRPr="00AE5F4B" w:rsidRDefault="00F52C07" w:rsidP="00F52C07">
      <w:pPr>
        <w:pStyle w:val="SemEspaamento"/>
        <w:jc w:val="center"/>
        <w:rPr>
          <w:rFonts w:ascii="Times New Roman" w:hAnsi="Times New Roman" w:cs="Times New Roman"/>
        </w:rPr>
      </w:pPr>
    </w:p>
    <w:p w14:paraId="537C4399" w14:textId="77777777" w:rsidR="00F52C07" w:rsidRPr="001B0D81" w:rsidRDefault="00F52C07" w:rsidP="00F52C07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IVAN LUIZ DE SOUZA</w:t>
      </w:r>
    </w:p>
    <w:p w14:paraId="613A2D2E" w14:textId="77777777" w:rsidR="00F52C07" w:rsidRPr="001B0D81" w:rsidRDefault="00F52C07" w:rsidP="00F52C07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  <w:r w:rsidRPr="001B0D81">
        <w:rPr>
          <w:rFonts w:ascii="Calibri" w:hAnsi="Calibri" w:cs="Calibri"/>
          <w:b/>
          <w:bCs/>
          <w:sz w:val="24"/>
          <w:szCs w:val="24"/>
        </w:rPr>
        <w:t>Presidente</w:t>
      </w:r>
    </w:p>
    <w:p w14:paraId="0FE42D6F" w14:textId="77777777" w:rsidR="00F52C07" w:rsidRDefault="00F52C07" w:rsidP="00F52C07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FAFA822" w14:textId="77777777" w:rsidR="00F52C07" w:rsidRPr="001B0D81" w:rsidRDefault="00F52C07" w:rsidP="00F52C07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0D1EBA7" w14:textId="77777777" w:rsidR="00F52C07" w:rsidRPr="001B0D81" w:rsidRDefault="00F52C07" w:rsidP="00F52C07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04A5490" w14:textId="77777777" w:rsidR="00F52C07" w:rsidRPr="001B0D81" w:rsidRDefault="00F52C07" w:rsidP="00F52C07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ERALDO CHAMONE MARQUES</w:t>
      </w:r>
    </w:p>
    <w:p w14:paraId="5E9AEB8E" w14:textId="77777777" w:rsidR="00F52C07" w:rsidRPr="001B0D81" w:rsidRDefault="00F52C07" w:rsidP="00F52C07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  <w:r w:rsidRPr="001B0D81">
        <w:rPr>
          <w:rFonts w:ascii="Calibri" w:hAnsi="Calibri" w:cs="Calibri"/>
          <w:b/>
          <w:bCs/>
          <w:sz w:val="24"/>
          <w:szCs w:val="24"/>
        </w:rPr>
        <w:t>1º Vice-Presidente</w:t>
      </w:r>
    </w:p>
    <w:p w14:paraId="784B9F38" w14:textId="77777777" w:rsidR="00F52C07" w:rsidRDefault="00F52C07" w:rsidP="00F52C07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828121F" w14:textId="77777777" w:rsidR="00F52C07" w:rsidRDefault="00F52C07" w:rsidP="00F52C07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44BDC99" w14:textId="77777777" w:rsidR="00F52C07" w:rsidRPr="001B0D81" w:rsidRDefault="00F52C07" w:rsidP="00F52C07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D5A88EF" w14:textId="77777777" w:rsidR="00F52C07" w:rsidRPr="001B0D81" w:rsidRDefault="00F52C07" w:rsidP="00F52C07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CARLOS HENRIQUE RAJÃO GONZALEZ</w:t>
      </w:r>
    </w:p>
    <w:p w14:paraId="4544313C" w14:textId="77777777" w:rsidR="00F52C07" w:rsidRPr="001B0D81" w:rsidRDefault="00F52C07" w:rsidP="00F52C07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  <w:r w:rsidRPr="001B0D81">
        <w:rPr>
          <w:rFonts w:ascii="Calibri" w:hAnsi="Calibri" w:cs="Calibri"/>
          <w:b/>
          <w:bCs/>
          <w:sz w:val="24"/>
          <w:szCs w:val="24"/>
        </w:rPr>
        <w:t>2º Vice-Presidente</w:t>
      </w:r>
    </w:p>
    <w:p w14:paraId="6421A0BD" w14:textId="77777777" w:rsidR="00F52C07" w:rsidRPr="001B0D81" w:rsidRDefault="00F52C07" w:rsidP="00F52C07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920599C" w14:textId="77777777" w:rsidR="00F52C07" w:rsidRDefault="00F52C07" w:rsidP="00F52C07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91AA58A" w14:textId="77777777" w:rsidR="00F52C07" w:rsidRPr="001B0D81" w:rsidRDefault="00F52C07" w:rsidP="00F52C07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E4D8051" w14:textId="77777777" w:rsidR="00F52C07" w:rsidRPr="001B0D81" w:rsidRDefault="00F52C07" w:rsidP="00F52C07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DEYVISON DE ABREU FREITAS</w:t>
      </w:r>
    </w:p>
    <w:p w14:paraId="3E406D75" w14:textId="77777777" w:rsidR="00F52C07" w:rsidRPr="001B0D81" w:rsidRDefault="00F52C07" w:rsidP="00F52C07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  <w:r w:rsidRPr="001B0D81">
        <w:rPr>
          <w:rFonts w:ascii="Calibri" w:hAnsi="Calibri" w:cs="Calibri"/>
          <w:b/>
          <w:bCs/>
          <w:sz w:val="24"/>
          <w:szCs w:val="24"/>
        </w:rPr>
        <w:t>1ª Secretári</w:t>
      </w:r>
      <w:r>
        <w:rPr>
          <w:rFonts w:ascii="Calibri" w:hAnsi="Calibri" w:cs="Calibri"/>
          <w:b/>
          <w:bCs/>
          <w:sz w:val="24"/>
          <w:szCs w:val="24"/>
        </w:rPr>
        <w:t>o</w:t>
      </w:r>
    </w:p>
    <w:p w14:paraId="48B3E6AA" w14:textId="77777777" w:rsidR="00F52C07" w:rsidRDefault="00F52C07" w:rsidP="00F52C07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8A4D456" w14:textId="77777777" w:rsidR="00F52C07" w:rsidRPr="001B0D81" w:rsidRDefault="00F52C07" w:rsidP="00F52C07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672B325" w14:textId="77777777" w:rsidR="00F52C07" w:rsidRPr="001B0D81" w:rsidRDefault="00F52C07" w:rsidP="00F52C07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94F6C5C" w14:textId="77777777" w:rsidR="00F52C07" w:rsidRPr="001B0D81" w:rsidRDefault="00F52C07" w:rsidP="00F52C07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ALBER ALÍPIO RIBEIRO</w:t>
      </w:r>
    </w:p>
    <w:p w14:paraId="16FCB7B4" w14:textId="77777777" w:rsidR="00F52C07" w:rsidRPr="001B0D81" w:rsidRDefault="00F52C07" w:rsidP="00F52C07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  <w:r w:rsidRPr="001B0D81">
        <w:rPr>
          <w:rFonts w:ascii="Calibri" w:hAnsi="Calibri" w:cs="Calibri"/>
          <w:b/>
          <w:bCs/>
          <w:sz w:val="24"/>
          <w:szCs w:val="24"/>
        </w:rPr>
        <w:t>2º Secretário</w:t>
      </w:r>
    </w:p>
    <w:p w14:paraId="7820234B" w14:textId="77777777" w:rsidR="00F52C07" w:rsidRDefault="00F52C07" w:rsidP="00F52C07">
      <w:pPr>
        <w:pStyle w:val="SemEspaamento"/>
        <w:jc w:val="center"/>
        <w:rPr>
          <w:b/>
          <w:bCs/>
          <w:sz w:val="24"/>
          <w:szCs w:val="24"/>
        </w:rPr>
      </w:pPr>
    </w:p>
    <w:p w14:paraId="03F6E937" w14:textId="77777777" w:rsidR="00F52C07" w:rsidRDefault="00F52C07" w:rsidP="00F52C07">
      <w:pPr>
        <w:pStyle w:val="SemEspaamento"/>
        <w:jc w:val="center"/>
        <w:rPr>
          <w:b/>
          <w:bCs/>
          <w:sz w:val="24"/>
          <w:szCs w:val="24"/>
        </w:rPr>
      </w:pPr>
    </w:p>
    <w:p w14:paraId="325D84ED" w14:textId="77777777" w:rsidR="00F52C07" w:rsidRDefault="00F52C07" w:rsidP="00F52C07">
      <w:pPr>
        <w:pStyle w:val="SemEspaamento"/>
        <w:jc w:val="center"/>
        <w:rPr>
          <w:b/>
          <w:bCs/>
          <w:sz w:val="24"/>
          <w:szCs w:val="24"/>
        </w:rPr>
      </w:pPr>
    </w:p>
    <w:p w14:paraId="48C13670" w14:textId="77777777" w:rsidR="00F52C07" w:rsidRDefault="00F52C07" w:rsidP="00F52C07">
      <w:pPr>
        <w:pStyle w:val="SemEspaamento"/>
        <w:rPr>
          <w:b/>
          <w:bCs/>
          <w:sz w:val="24"/>
          <w:szCs w:val="24"/>
        </w:rPr>
      </w:pPr>
    </w:p>
    <w:p w14:paraId="37524553" w14:textId="77777777" w:rsidR="00F52C07" w:rsidRPr="00612BED" w:rsidRDefault="00F52C07" w:rsidP="00F52C07">
      <w:pPr>
        <w:pStyle w:val="SemEspaamento"/>
        <w:jc w:val="center"/>
        <w:rPr>
          <w:b/>
          <w:bCs/>
          <w:sz w:val="24"/>
          <w:szCs w:val="24"/>
        </w:rPr>
      </w:pPr>
    </w:p>
    <w:p w14:paraId="6A3A4470" w14:textId="77777777" w:rsidR="00F52C07" w:rsidRDefault="00F52C07" w:rsidP="00F52C07">
      <w:pPr>
        <w:jc w:val="both"/>
        <w:rPr>
          <w:rFonts w:ascii="Arial" w:hAnsi="Arial" w:cs="Arial"/>
        </w:rPr>
      </w:pPr>
    </w:p>
    <w:p w14:paraId="58605ADF" w14:textId="77777777" w:rsidR="00F52C07" w:rsidRPr="0072761F" w:rsidRDefault="00F52C07" w:rsidP="00F52C07">
      <w:pPr>
        <w:jc w:val="both"/>
        <w:rPr>
          <w:i/>
          <w:iCs/>
        </w:rPr>
      </w:pPr>
      <w:r w:rsidRPr="0072761F">
        <w:rPr>
          <w:i/>
          <w:iCs/>
          <w:sz w:val="20"/>
          <w:szCs w:val="20"/>
        </w:rPr>
        <w:t>(</w:t>
      </w:r>
      <w:r w:rsidRPr="0072761F">
        <w:rPr>
          <w:i/>
          <w:iCs/>
        </w:rPr>
        <w:t>Originária da P</w:t>
      </w:r>
      <w:r>
        <w:rPr>
          <w:i/>
          <w:iCs/>
        </w:rPr>
        <w:t>roposta de Emenda à Lei Orgânica</w:t>
      </w:r>
      <w:r w:rsidRPr="0072761F">
        <w:rPr>
          <w:i/>
          <w:iCs/>
        </w:rPr>
        <w:t xml:space="preserve"> nº 0</w:t>
      </w:r>
      <w:r>
        <w:rPr>
          <w:i/>
          <w:iCs/>
        </w:rPr>
        <w:t>3</w:t>
      </w:r>
      <w:r w:rsidRPr="0072761F">
        <w:rPr>
          <w:i/>
          <w:iCs/>
        </w:rPr>
        <w:t>/20</w:t>
      </w:r>
      <w:r>
        <w:rPr>
          <w:i/>
          <w:iCs/>
        </w:rPr>
        <w:t>25</w:t>
      </w:r>
      <w:r w:rsidRPr="0072761F">
        <w:rPr>
          <w:i/>
          <w:iCs/>
        </w:rPr>
        <w:t xml:space="preserve"> de autoria</w:t>
      </w:r>
      <w:r>
        <w:rPr>
          <w:i/>
          <w:iCs/>
        </w:rPr>
        <w:t xml:space="preserve"> dos vereadores Aguinaldo Batista Guimarães, </w:t>
      </w:r>
      <w:proofErr w:type="spellStart"/>
      <w:r>
        <w:rPr>
          <w:i/>
          <w:iCs/>
        </w:rPr>
        <w:t>Alber</w:t>
      </w:r>
      <w:proofErr w:type="spellEnd"/>
      <w:r>
        <w:rPr>
          <w:i/>
          <w:iCs/>
        </w:rPr>
        <w:t xml:space="preserve"> Alípio Ribeiro, Carlos Henrique Rajão Gonzalez, </w:t>
      </w:r>
      <w:proofErr w:type="spellStart"/>
      <w:r>
        <w:rPr>
          <w:i/>
          <w:iCs/>
        </w:rPr>
        <w:t>Deyvison</w:t>
      </w:r>
      <w:proofErr w:type="spellEnd"/>
      <w:r>
        <w:rPr>
          <w:i/>
          <w:iCs/>
        </w:rPr>
        <w:t xml:space="preserve"> de Abreu Freitas, Eraldo </w:t>
      </w:r>
      <w:proofErr w:type="spellStart"/>
      <w:r>
        <w:rPr>
          <w:i/>
          <w:iCs/>
        </w:rPr>
        <w:t>Chamone</w:t>
      </w:r>
      <w:proofErr w:type="spellEnd"/>
      <w:r>
        <w:rPr>
          <w:i/>
          <w:iCs/>
        </w:rPr>
        <w:t xml:space="preserve"> Marques, Heloísa Diniz Frois, Ismael Soares de Moura, Ivan Luiz de Souza, Rodrigo Braga da Rocha, Roney Geraldo Gomes, Thiago Augusto Rodrigues Santana, </w:t>
      </w:r>
      <w:proofErr w:type="spellStart"/>
      <w:r>
        <w:rPr>
          <w:i/>
          <w:iCs/>
        </w:rPr>
        <w:t>Walisson</w:t>
      </w:r>
      <w:proofErr w:type="spellEnd"/>
      <w:r>
        <w:rPr>
          <w:i/>
          <w:iCs/>
        </w:rPr>
        <w:t xml:space="preserve"> Leandro Gomes Barcelos</w:t>
      </w:r>
      <w:r w:rsidRPr="001B0D81">
        <w:rPr>
          <w:i/>
          <w:iCs/>
          <w:szCs w:val="20"/>
        </w:rPr>
        <w:t>)</w:t>
      </w:r>
    </w:p>
    <w:p w14:paraId="038B0338" w14:textId="77777777" w:rsidR="00F52C07" w:rsidRPr="003C34B0" w:rsidRDefault="00F52C07" w:rsidP="00F52C07"/>
    <w:p w14:paraId="698AEDA7" w14:textId="7D60D602" w:rsidR="00297C9A" w:rsidRDefault="00E45770" w:rsidP="00297C9A">
      <w:pPr>
        <w:tabs>
          <w:tab w:val="left" w:pos="0"/>
          <w:tab w:val="left" w:pos="900"/>
        </w:tabs>
        <w:jc w:val="both"/>
        <w:rPr>
          <w:rFonts w:ascii="Arial Black" w:hAnsi="Arial Black" w:cs="DejaVu Serif Condensed"/>
          <w:b/>
          <w:bCs/>
          <w:sz w:val="40"/>
          <w:szCs w:val="40"/>
        </w:rPr>
      </w:pPr>
      <w:r>
        <w:rPr>
          <w:rFonts w:ascii="Arial Black" w:hAnsi="Arial Black" w:cs="DejaVu Serif Condensed"/>
          <w:b/>
          <w:bCs/>
          <w:sz w:val="40"/>
          <w:szCs w:val="40"/>
        </w:rPr>
        <w:tab/>
      </w:r>
      <w:r>
        <w:rPr>
          <w:rFonts w:ascii="Arial Black" w:hAnsi="Arial Black" w:cs="DejaVu Serif Condensed"/>
          <w:b/>
          <w:bCs/>
          <w:sz w:val="40"/>
          <w:szCs w:val="40"/>
        </w:rPr>
        <w:tab/>
      </w:r>
    </w:p>
    <w:p w14:paraId="50E8689E" w14:textId="7F024472" w:rsidR="00297C9A" w:rsidRDefault="00297C9A" w:rsidP="00FB1F89">
      <w:pPr>
        <w:tabs>
          <w:tab w:val="left" w:pos="0"/>
          <w:tab w:val="left" w:pos="900"/>
        </w:tabs>
        <w:jc w:val="both"/>
        <w:rPr>
          <w:rFonts w:ascii="Arial Black" w:hAnsi="Arial Black" w:cs="DejaVu Serif Condensed"/>
          <w:b/>
          <w:bCs/>
          <w:sz w:val="40"/>
          <w:szCs w:val="40"/>
        </w:rPr>
      </w:pPr>
    </w:p>
    <w:sectPr w:rsidR="00297C9A" w:rsidSect="00E375C2">
      <w:headerReference w:type="default" r:id="rId7"/>
      <w:pgSz w:w="11906" w:h="16838"/>
      <w:pgMar w:top="1" w:right="1701" w:bottom="1417" w:left="1701" w:header="705" w:footer="2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A2C15" w14:textId="77777777" w:rsidR="00C960F1" w:rsidRDefault="00C960F1" w:rsidP="003C34B0">
      <w:pPr>
        <w:spacing w:after="0" w:line="240" w:lineRule="auto"/>
      </w:pPr>
      <w:r>
        <w:separator/>
      </w:r>
    </w:p>
  </w:endnote>
  <w:endnote w:type="continuationSeparator" w:id="0">
    <w:p w14:paraId="79983577" w14:textId="77777777" w:rsidR="00C960F1" w:rsidRDefault="00C960F1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imbus Roman No9 L">
    <w:altName w:val="MS Gothic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erif Condensed">
    <w:altName w:val="HGPMinchoE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4A17E" w14:textId="77777777" w:rsidR="00C960F1" w:rsidRDefault="00C960F1" w:rsidP="003C34B0">
      <w:pPr>
        <w:spacing w:after="0" w:line="240" w:lineRule="auto"/>
      </w:pPr>
      <w:r>
        <w:separator/>
      </w:r>
    </w:p>
  </w:footnote>
  <w:footnote w:type="continuationSeparator" w:id="0">
    <w:p w14:paraId="281093BD" w14:textId="77777777" w:rsidR="00C960F1" w:rsidRDefault="00C960F1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61AC4C85">
          <wp:simplePos x="0" y="0"/>
          <wp:positionH relativeFrom="page">
            <wp:posOffset>9525</wp:posOffset>
          </wp:positionH>
          <wp:positionV relativeFrom="paragraph">
            <wp:posOffset>-285751</wp:posOffset>
          </wp:positionV>
          <wp:extent cx="7550150" cy="10448925"/>
          <wp:effectExtent l="0" t="0" r="0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044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5139A"/>
    <w:rsid w:val="000856E9"/>
    <w:rsid w:val="00171A6D"/>
    <w:rsid w:val="00204839"/>
    <w:rsid w:val="00234942"/>
    <w:rsid w:val="00236C87"/>
    <w:rsid w:val="00297C9A"/>
    <w:rsid w:val="00342E77"/>
    <w:rsid w:val="0034774F"/>
    <w:rsid w:val="003C34B0"/>
    <w:rsid w:val="00480B42"/>
    <w:rsid w:val="00481FA3"/>
    <w:rsid w:val="004C700D"/>
    <w:rsid w:val="00555A18"/>
    <w:rsid w:val="00577D98"/>
    <w:rsid w:val="006142C3"/>
    <w:rsid w:val="0063181F"/>
    <w:rsid w:val="006F00FD"/>
    <w:rsid w:val="00716B3B"/>
    <w:rsid w:val="00720827"/>
    <w:rsid w:val="007F6A7A"/>
    <w:rsid w:val="00860EBB"/>
    <w:rsid w:val="00951768"/>
    <w:rsid w:val="009779F7"/>
    <w:rsid w:val="00AB6010"/>
    <w:rsid w:val="00B00A8A"/>
    <w:rsid w:val="00B313B9"/>
    <w:rsid w:val="00BF16DB"/>
    <w:rsid w:val="00C960F1"/>
    <w:rsid w:val="00CF65BB"/>
    <w:rsid w:val="00D315E0"/>
    <w:rsid w:val="00D53B6F"/>
    <w:rsid w:val="00E375C2"/>
    <w:rsid w:val="00E45770"/>
    <w:rsid w:val="00E463F5"/>
    <w:rsid w:val="00F52C07"/>
    <w:rsid w:val="00FB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EB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customStyle="1" w:styleId="western">
    <w:name w:val="western"/>
    <w:basedOn w:val="Normal"/>
    <w:rsid w:val="00F52C07"/>
    <w:pPr>
      <w:widowControl w:val="0"/>
      <w:suppressAutoHyphens/>
      <w:spacing w:before="280" w:after="119" w:line="240" w:lineRule="auto"/>
    </w:pPr>
    <w:rPr>
      <w:rFonts w:ascii="Times New Roman" w:eastAsia="Lucida Sans Unicode" w:hAnsi="Times New Roman" w:cs="Times New Roman"/>
      <w:i/>
      <w:iCs/>
      <w:kern w:val="1"/>
      <w:sz w:val="24"/>
      <w:szCs w:val="24"/>
      <w:lang w:eastAsia="ar-SA"/>
    </w:rPr>
  </w:style>
  <w:style w:type="paragraph" w:styleId="SemEspaamento">
    <w:name w:val="No Spacing"/>
    <w:uiPriority w:val="1"/>
    <w:qFormat/>
    <w:rsid w:val="00F52C07"/>
    <w:pPr>
      <w:spacing w:after="0" w:line="240" w:lineRule="auto"/>
    </w:pPr>
  </w:style>
  <w:style w:type="paragraph" w:customStyle="1" w:styleId="Standard">
    <w:name w:val="Standard"/>
    <w:rsid w:val="00F52C07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B8055-FAE8-4F4A-A5C4-03A60A246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792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Flavio Pires Incalado</cp:lastModifiedBy>
  <cp:revision>2</cp:revision>
  <cp:lastPrinted>2025-02-03T13:28:00Z</cp:lastPrinted>
  <dcterms:created xsi:type="dcterms:W3CDTF">2025-05-28T11:16:00Z</dcterms:created>
  <dcterms:modified xsi:type="dcterms:W3CDTF">2025-05-28T11:16:00Z</dcterms:modified>
</cp:coreProperties>
</file>