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6359A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ADELICE MARIA BENEVIDES ROCHA.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>à Senhora ADELICE MARIA BENEVIDES ROCHA.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6359A5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E46A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6359A5">
        <w:rPr>
          <w:rFonts w:ascii="Times New Roman" w:hAnsi="Times New Roman" w:cs="Times New Roman"/>
          <w:sz w:val="20"/>
          <w:szCs w:val="20"/>
        </w:rPr>
        <w:t xml:space="preserve">Ronaldo João da </w:t>
      </w:r>
      <w:proofErr w:type="gramStart"/>
      <w:r w:rsidR="006359A5">
        <w:rPr>
          <w:rFonts w:ascii="Times New Roman" w:hAnsi="Times New Roman" w:cs="Times New Roman"/>
          <w:sz w:val="20"/>
          <w:szCs w:val="20"/>
        </w:rPr>
        <w:t xml:space="preserve">Silva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E36" w:rsidRDefault="002E3E36" w:rsidP="00963EEE">
      <w:pPr>
        <w:spacing w:after="0" w:line="240" w:lineRule="auto"/>
      </w:pPr>
      <w:r>
        <w:separator/>
      </w:r>
    </w:p>
  </w:endnote>
  <w:endnote w:type="continuationSeparator" w:id="0">
    <w:p w:rsidR="002E3E36" w:rsidRDefault="002E3E3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E36" w:rsidRDefault="002E3E36" w:rsidP="00963EEE">
      <w:pPr>
        <w:spacing w:after="0" w:line="240" w:lineRule="auto"/>
      </w:pPr>
      <w:r>
        <w:separator/>
      </w:r>
    </w:p>
  </w:footnote>
  <w:footnote w:type="continuationSeparator" w:id="0">
    <w:p w:rsidR="002E3E36" w:rsidRDefault="002E3E3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E3E36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6ACF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2020-02-06T14:14:00Z</cp:lastPrinted>
  <dcterms:created xsi:type="dcterms:W3CDTF">2020-02-06T14:14:00Z</dcterms:created>
  <dcterms:modified xsi:type="dcterms:W3CDTF">2020-02-06T14:14:00Z</dcterms:modified>
</cp:coreProperties>
</file>