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0" w:type="dxa"/>
        <w:tblLayout w:type="fixed"/>
        <w:tblCellMar>
          <w:left w:w="180" w:type="dxa"/>
          <w:right w:w="180" w:type="dxa"/>
        </w:tblCellMar>
        <w:tblLook w:val="0000" w:firstRow="0" w:lastRow="0" w:firstColumn="0" w:lastColumn="0" w:noHBand="0" w:noVBand="0"/>
      </w:tblPr>
      <w:tblGrid>
        <w:gridCol w:w="1276"/>
        <w:gridCol w:w="8004"/>
      </w:tblGrid>
      <w:tr w:rsidR="00E148B7" w:rsidRPr="009D464F" w14:paraId="01C57791" w14:textId="77777777" w:rsidTr="00175A82">
        <w:trPr>
          <w:trHeight w:val="1038"/>
        </w:trPr>
        <w:tc>
          <w:tcPr>
            <w:tcW w:w="1276" w:type="dxa"/>
            <w:vAlign w:val="center"/>
          </w:tcPr>
          <w:p w14:paraId="77D2F99D" w14:textId="77777777" w:rsidR="00175A82" w:rsidRPr="009D464F" w:rsidRDefault="00175A82" w:rsidP="00770FE6">
            <w:pPr>
              <w:widowControl w:val="0"/>
              <w:pBdr>
                <w:top w:val="nil"/>
                <w:left w:val="nil"/>
                <w:bottom w:val="nil"/>
                <w:right w:val="nil"/>
                <w:between w:val="nil"/>
              </w:pBdr>
              <w:spacing w:line="360" w:lineRule="auto"/>
              <w:jc w:val="both"/>
              <w:rPr>
                <w:rFonts w:ascii="Times New Roman" w:hAnsi="Times New Roman" w:cs="Times New Roman"/>
                <w:b/>
                <w:sz w:val="24"/>
                <w:szCs w:val="24"/>
              </w:rPr>
            </w:pPr>
            <w:r w:rsidRPr="009D464F">
              <w:rPr>
                <w:rFonts w:ascii="Times New Roman" w:hAnsi="Times New Roman" w:cs="Times New Roman"/>
                <w:b/>
                <w:noProof/>
                <w:sz w:val="24"/>
                <w:szCs w:val="24"/>
              </w:rPr>
              <w:drawing>
                <wp:anchor distT="0" distB="0" distL="114300" distR="114300" simplePos="0" relativeHeight="251659264" behindDoc="0" locked="0" layoutInCell="1" allowOverlap="1" wp14:anchorId="0F8898F8" wp14:editId="7D40091C">
                  <wp:simplePos x="0" y="0"/>
                  <wp:positionH relativeFrom="margin">
                    <wp:posOffset>-81915</wp:posOffset>
                  </wp:positionH>
                  <wp:positionV relativeFrom="margin">
                    <wp:posOffset>-146050</wp:posOffset>
                  </wp:positionV>
                  <wp:extent cx="685800" cy="800100"/>
                  <wp:effectExtent l="19050" t="0" r="0"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D464F">
              <w:rPr>
                <w:rFonts w:ascii="Times New Roman" w:hAnsi="Times New Roman" w:cs="Times New Roman"/>
                <w:b/>
                <w:sz w:val="24"/>
                <w:szCs w:val="24"/>
              </w:rPr>
              <w:t xml:space="preserve"> </w:t>
            </w:r>
          </w:p>
        </w:tc>
        <w:tc>
          <w:tcPr>
            <w:tcW w:w="8004" w:type="dxa"/>
            <w:vAlign w:val="center"/>
          </w:tcPr>
          <w:p w14:paraId="73BF023B" w14:textId="7C20320C" w:rsidR="00175A82" w:rsidRPr="009D464F" w:rsidRDefault="00175A82" w:rsidP="00770FE6">
            <w:pPr>
              <w:widowControl w:val="0"/>
              <w:pBdr>
                <w:top w:val="nil"/>
                <w:left w:val="nil"/>
                <w:bottom w:val="nil"/>
                <w:right w:val="nil"/>
                <w:between w:val="nil"/>
              </w:pBdr>
              <w:spacing w:line="360" w:lineRule="auto"/>
              <w:ind w:left="-179"/>
              <w:jc w:val="center"/>
              <w:rPr>
                <w:rFonts w:ascii="Times New Roman" w:hAnsi="Times New Roman" w:cs="Times New Roman"/>
                <w:bCs/>
                <w:sz w:val="36"/>
                <w:szCs w:val="36"/>
              </w:rPr>
            </w:pPr>
            <w:r w:rsidRPr="009D464F">
              <w:rPr>
                <w:rFonts w:ascii="Times New Roman" w:hAnsi="Times New Roman" w:cs="Times New Roman"/>
                <w:bCs/>
                <w:sz w:val="36"/>
                <w:szCs w:val="36"/>
              </w:rPr>
              <w:t>PREFEITURA MUNICIPAL DE SETE LAGOAS</w:t>
            </w:r>
          </w:p>
        </w:tc>
      </w:tr>
    </w:tbl>
    <w:p w14:paraId="6B801B19" w14:textId="77777777" w:rsidR="00F83C7D" w:rsidRPr="009D464F" w:rsidRDefault="00F83C7D" w:rsidP="00F83C7D">
      <w:pPr>
        <w:widowControl w:val="0"/>
        <w:pBdr>
          <w:top w:val="nil"/>
          <w:left w:val="nil"/>
          <w:bottom w:val="nil"/>
          <w:right w:val="nil"/>
          <w:between w:val="nil"/>
        </w:pBdr>
        <w:spacing w:line="240" w:lineRule="auto"/>
        <w:ind w:left="2268"/>
        <w:jc w:val="both"/>
        <w:rPr>
          <w:rFonts w:ascii="Times New Roman" w:hAnsi="Times New Roman" w:cs="Times New Roman"/>
          <w:b/>
          <w:bCs/>
          <w:sz w:val="24"/>
          <w:szCs w:val="24"/>
        </w:rPr>
      </w:pPr>
    </w:p>
    <w:p w14:paraId="3B518DF3" w14:textId="39946FE8" w:rsidR="001B1BB8" w:rsidRPr="009D464F" w:rsidRDefault="005009C9" w:rsidP="00F83C7D">
      <w:pPr>
        <w:widowControl w:val="0"/>
        <w:pBdr>
          <w:top w:val="nil"/>
          <w:left w:val="nil"/>
          <w:bottom w:val="nil"/>
          <w:right w:val="nil"/>
          <w:between w:val="nil"/>
        </w:pBdr>
        <w:spacing w:line="240" w:lineRule="auto"/>
        <w:ind w:left="2268"/>
        <w:jc w:val="both"/>
        <w:rPr>
          <w:rFonts w:ascii="Times New Roman" w:hAnsi="Times New Roman" w:cs="Times New Roman"/>
          <w:b/>
          <w:bCs/>
          <w:sz w:val="24"/>
          <w:szCs w:val="24"/>
        </w:rPr>
      </w:pPr>
      <w:r w:rsidRPr="009D464F">
        <w:rPr>
          <w:rFonts w:ascii="Times New Roman" w:hAnsi="Times New Roman" w:cs="Times New Roman"/>
          <w:b/>
          <w:bCs/>
          <w:sz w:val="24"/>
          <w:szCs w:val="24"/>
        </w:rPr>
        <w:t xml:space="preserve">PROJETO DE LEI </w:t>
      </w:r>
      <w:r w:rsidR="001B1BB8" w:rsidRPr="009D464F">
        <w:rPr>
          <w:rFonts w:ascii="Times New Roman" w:hAnsi="Times New Roman" w:cs="Times New Roman"/>
          <w:b/>
          <w:bCs/>
          <w:sz w:val="24"/>
          <w:szCs w:val="24"/>
        </w:rPr>
        <w:t>Nº          /202</w:t>
      </w:r>
      <w:r w:rsidR="0087526F" w:rsidRPr="009D464F">
        <w:rPr>
          <w:rFonts w:ascii="Times New Roman" w:hAnsi="Times New Roman" w:cs="Times New Roman"/>
          <w:b/>
          <w:bCs/>
          <w:sz w:val="24"/>
          <w:szCs w:val="24"/>
        </w:rPr>
        <w:t>5</w:t>
      </w:r>
      <w:r w:rsidR="001B1BB8" w:rsidRPr="009D464F">
        <w:rPr>
          <w:rFonts w:ascii="Times New Roman" w:hAnsi="Times New Roman" w:cs="Times New Roman"/>
          <w:b/>
          <w:bCs/>
          <w:sz w:val="24"/>
          <w:szCs w:val="24"/>
        </w:rPr>
        <w:t>.</w:t>
      </w:r>
    </w:p>
    <w:p w14:paraId="2CDF9420" w14:textId="77777777" w:rsidR="00770FE6" w:rsidRPr="009D464F" w:rsidRDefault="00770FE6" w:rsidP="00F83C7D">
      <w:pPr>
        <w:pStyle w:val="Default"/>
        <w:ind w:left="2268"/>
        <w:jc w:val="both"/>
        <w:rPr>
          <w:color w:val="auto"/>
        </w:rPr>
      </w:pPr>
    </w:p>
    <w:p w14:paraId="6919FD7B" w14:textId="48927901" w:rsidR="00C82805" w:rsidRPr="009D464F" w:rsidRDefault="00770FE6" w:rsidP="00F83C7D">
      <w:pPr>
        <w:pStyle w:val="Default"/>
        <w:ind w:left="2268"/>
        <w:jc w:val="both"/>
        <w:rPr>
          <w:b/>
          <w:bCs/>
          <w:color w:val="auto"/>
        </w:rPr>
      </w:pPr>
      <w:r w:rsidRPr="009D464F">
        <w:rPr>
          <w:b/>
          <w:bCs/>
          <w:color w:val="auto"/>
        </w:rPr>
        <w:t xml:space="preserve">INSTITUI </w:t>
      </w:r>
      <w:r w:rsidR="0009711E" w:rsidRPr="009D464F">
        <w:rPr>
          <w:b/>
          <w:bCs/>
          <w:color w:val="auto"/>
        </w:rPr>
        <w:t xml:space="preserve">O PROGRAMA DE </w:t>
      </w:r>
      <w:r w:rsidRPr="009D464F">
        <w:rPr>
          <w:b/>
          <w:bCs/>
          <w:color w:val="auto"/>
        </w:rPr>
        <w:t xml:space="preserve">INCENTIVO </w:t>
      </w:r>
      <w:r w:rsidR="00C82805" w:rsidRPr="009D464F">
        <w:rPr>
          <w:b/>
          <w:bCs/>
          <w:color w:val="auto"/>
        </w:rPr>
        <w:t xml:space="preserve">À </w:t>
      </w:r>
      <w:r w:rsidRPr="009D464F">
        <w:rPr>
          <w:b/>
          <w:bCs/>
          <w:color w:val="auto"/>
        </w:rPr>
        <w:t xml:space="preserve">REGULARIZAÇÃO DE </w:t>
      </w:r>
      <w:r w:rsidR="00190BF7" w:rsidRPr="009D464F">
        <w:rPr>
          <w:b/>
          <w:bCs/>
          <w:color w:val="auto"/>
        </w:rPr>
        <w:t>TRANSMISSÃO</w:t>
      </w:r>
      <w:r w:rsidR="00C82805" w:rsidRPr="009D464F">
        <w:rPr>
          <w:b/>
          <w:bCs/>
          <w:color w:val="auto"/>
        </w:rPr>
        <w:t xml:space="preserve"> DE BENS IMÓVEIS NO MUNICÍPIO DE SETE LAGOAS</w:t>
      </w:r>
      <w:r w:rsidR="00432EF6" w:rsidRPr="009D464F">
        <w:rPr>
          <w:b/>
          <w:bCs/>
          <w:color w:val="auto"/>
        </w:rPr>
        <w:t>.</w:t>
      </w:r>
    </w:p>
    <w:p w14:paraId="1857EE8E" w14:textId="77777777" w:rsidR="00C82805" w:rsidRPr="009D464F" w:rsidRDefault="00C82805" w:rsidP="00F83C7D">
      <w:pPr>
        <w:pStyle w:val="Default"/>
        <w:ind w:left="2268"/>
        <w:jc w:val="both"/>
        <w:rPr>
          <w:b/>
          <w:bCs/>
          <w:color w:val="auto"/>
        </w:rPr>
      </w:pPr>
    </w:p>
    <w:p w14:paraId="73D44FD3" w14:textId="64FDF7BD" w:rsidR="00770FE6" w:rsidRPr="009D464F" w:rsidRDefault="00770FE6" w:rsidP="00F83C7D">
      <w:pPr>
        <w:pStyle w:val="Default"/>
        <w:ind w:firstLine="2268"/>
        <w:jc w:val="both"/>
        <w:rPr>
          <w:color w:val="auto"/>
        </w:rPr>
      </w:pPr>
      <w:r w:rsidRPr="009D464F">
        <w:rPr>
          <w:color w:val="auto"/>
        </w:rPr>
        <w:t>Art. 1º</w:t>
      </w:r>
      <w:r w:rsidRPr="009D464F">
        <w:rPr>
          <w:b/>
          <w:bCs/>
          <w:color w:val="auto"/>
        </w:rPr>
        <w:t xml:space="preserve"> </w:t>
      </w:r>
      <w:r w:rsidRPr="009D464F">
        <w:rPr>
          <w:color w:val="auto"/>
        </w:rPr>
        <w:t xml:space="preserve">Fica instituído </w:t>
      </w:r>
      <w:r w:rsidR="00C82805" w:rsidRPr="009D464F">
        <w:rPr>
          <w:color w:val="auto"/>
        </w:rPr>
        <w:t xml:space="preserve">o Programa de </w:t>
      </w:r>
      <w:r w:rsidRPr="009D464F">
        <w:rPr>
          <w:color w:val="auto"/>
        </w:rPr>
        <w:t>incentivo</w:t>
      </w:r>
      <w:r w:rsidR="00C82805" w:rsidRPr="009D464F">
        <w:rPr>
          <w:color w:val="auto"/>
        </w:rPr>
        <w:t xml:space="preserve"> à regularização de transferências de bens imóveis no Município de Sete Lagoas</w:t>
      </w:r>
      <w:r w:rsidRPr="009D464F">
        <w:rPr>
          <w:color w:val="auto"/>
        </w:rPr>
        <w:t xml:space="preserve">, </w:t>
      </w:r>
      <w:r w:rsidR="00432EF6" w:rsidRPr="009D464F">
        <w:rPr>
          <w:color w:val="auto"/>
        </w:rPr>
        <w:t>p</w:t>
      </w:r>
      <w:r w:rsidRPr="009D464F">
        <w:rPr>
          <w:color w:val="auto"/>
        </w:rPr>
        <w:t xml:space="preserve">or meio da </w:t>
      </w:r>
      <w:r w:rsidR="00432EF6" w:rsidRPr="009D464F">
        <w:rPr>
          <w:color w:val="auto"/>
        </w:rPr>
        <w:t xml:space="preserve">concessão de desconto para a </w:t>
      </w:r>
      <w:r w:rsidRPr="009D464F">
        <w:rPr>
          <w:color w:val="auto"/>
        </w:rPr>
        <w:t>redução d</w:t>
      </w:r>
      <w:r w:rsidR="00432EF6" w:rsidRPr="009D464F">
        <w:rPr>
          <w:color w:val="auto"/>
        </w:rPr>
        <w:t>a</w:t>
      </w:r>
      <w:r w:rsidRPr="009D464F">
        <w:rPr>
          <w:color w:val="auto"/>
        </w:rPr>
        <w:t xml:space="preserve"> alíquota do Imposto de Transmissão de Bens Imóveis (ITBI), </w:t>
      </w:r>
      <w:r w:rsidR="00432EF6" w:rsidRPr="009D464F">
        <w:rPr>
          <w:color w:val="auto"/>
        </w:rPr>
        <w:t>nos termos desta Lei</w:t>
      </w:r>
      <w:r w:rsidRPr="009D464F">
        <w:rPr>
          <w:color w:val="auto"/>
        </w:rPr>
        <w:t xml:space="preserve">. </w:t>
      </w:r>
    </w:p>
    <w:p w14:paraId="69E380EC" w14:textId="77777777" w:rsidR="00F83C7D" w:rsidRPr="009D464F" w:rsidRDefault="00F83C7D" w:rsidP="00F83C7D">
      <w:pPr>
        <w:pStyle w:val="Default"/>
        <w:ind w:firstLine="2268"/>
        <w:jc w:val="both"/>
        <w:rPr>
          <w:color w:val="auto"/>
        </w:rPr>
      </w:pPr>
    </w:p>
    <w:p w14:paraId="23E0BAAF" w14:textId="77777777" w:rsidR="00432EF6" w:rsidRPr="009D464F" w:rsidRDefault="00770FE6" w:rsidP="00F83C7D">
      <w:pPr>
        <w:pStyle w:val="Default"/>
        <w:ind w:firstLine="2268"/>
        <w:jc w:val="both"/>
        <w:rPr>
          <w:color w:val="auto"/>
        </w:rPr>
      </w:pPr>
      <w:r w:rsidRPr="009D464F">
        <w:rPr>
          <w:color w:val="auto"/>
        </w:rPr>
        <w:t xml:space="preserve">Parágrafo único. O incentivo referido no </w:t>
      </w:r>
      <w:r w:rsidRPr="009D464F">
        <w:rPr>
          <w:i/>
          <w:iCs/>
          <w:color w:val="auto"/>
        </w:rPr>
        <w:t xml:space="preserve">caput </w:t>
      </w:r>
      <w:r w:rsidRPr="009D464F">
        <w:rPr>
          <w:color w:val="auto"/>
        </w:rPr>
        <w:t xml:space="preserve">deste artigo é destinado </w:t>
      </w:r>
      <w:r w:rsidR="00432EF6" w:rsidRPr="009D464F">
        <w:rPr>
          <w:color w:val="auto"/>
        </w:rPr>
        <w:t xml:space="preserve">às transações de transferências de bens imóveis que incidem imposto sobre a transmissão de bens imóveis – ITBI, a qualquer título, que estejam quitadas ou não e que venham a ser formalizados por meio de escritura pública. </w:t>
      </w:r>
    </w:p>
    <w:p w14:paraId="03E16E55" w14:textId="77777777" w:rsidR="003B2E37" w:rsidRPr="009D464F" w:rsidRDefault="003B2E37" w:rsidP="00F83C7D">
      <w:pPr>
        <w:pStyle w:val="Default"/>
        <w:ind w:firstLine="2268"/>
        <w:jc w:val="both"/>
        <w:rPr>
          <w:color w:val="auto"/>
        </w:rPr>
      </w:pPr>
    </w:p>
    <w:p w14:paraId="39831FD3" w14:textId="30C58704" w:rsidR="00770FE6" w:rsidRPr="009D464F" w:rsidRDefault="00770FE6" w:rsidP="00F83C7D">
      <w:pPr>
        <w:pStyle w:val="Default"/>
        <w:ind w:firstLine="2268"/>
        <w:jc w:val="both"/>
        <w:rPr>
          <w:color w:val="auto"/>
        </w:rPr>
      </w:pPr>
      <w:r w:rsidRPr="009D464F">
        <w:rPr>
          <w:color w:val="auto"/>
        </w:rPr>
        <w:t>Art. 2º</w:t>
      </w:r>
      <w:r w:rsidRPr="009D464F">
        <w:rPr>
          <w:b/>
          <w:bCs/>
          <w:color w:val="auto"/>
        </w:rPr>
        <w:t xml:space="preserve"> </w:t>
      </w:r>
      <w:r w:rsidRPr="009D464F">
        <w:rPr>
          <w:color w:val="auto"/>
        </w:rPr>
        <w:t xml:space="preserve">Fica estabelecida </w:t>
      </w:r>
      <w:r w:rsidR="00432EF6" w:rsidRPr="009D464F">
        <w:rPr>
          <w:color w:val="auto"/>
        </w:rPr>
        <w:t>uma redução de 50% (cinquenta por cento) da</w:t>
      </w:r>
      <w:r w:rsidR="006C02D5" w:rsidRPr="009D464F">
        <w:rPr>
          <w:color w:val="auto"/>
        </w:rPr>
        <w:t>s</w:t>
      </w:r>
      <w:r w:rsidR="00432EF6" w:rsidRPr="009D464F">
        <w:rPr>
          <w:color w:val="auto"/>
        </w:rPr>
        <w:t xml:space="preserve"> </w:t>
      </w:r>
      <w:r w:rsidRPr="009D464F">
        <w:rPr>
          <w:color w:val="auto"/>
        </w:rPr>
        <w:t>alíquota</w:t>
      </w:r>
      <w:r w:rsidR="006C02D5" w:rsidRPr="009D464F">
        <w:rPr>
          <w:color w:val="auto"/>
        </w:rPr>
        <w:t>s</w:t>
      </w:r>
      <w:r w:rsidRPr="009D464F">
        <w:rPr>
          <w:color w:val="auto"/>
        </w:rPr>
        <w:t xml:space="preserve"> </w:t>
      </w:r>
      <w:r w:rsidR="006C02D5" w:rsidRPr="009D464F">
        <w:rPr>
          <w:color w:val="auto"/>
        </w:rPr>
        <w:t xml:space="preserve">do ITBI previstas no art. 216 do Código Tributário Municipal, Lei Complementar nº 74/2022, </w:t>
      </w:r>
      <w:r w:rsidRPr="009D464F">
        <w:rPr>
          <w:color w:val="auto"/>
        </w:rPr>
        <w:t>para as transações realizadas até 31 de dezembro de 20</w:t>
      </w:r>
      <w:r w:rsidR="00D73200" w:rsidRPr="009D464F">
        <w:rPr>
          <w:color w:val="auto"/>
        </w:rPr>
        <w:t>18</w:t>
      </w:r>
      <w:r w:rsidR="00D21925" w:rsidRPr="009D464F">
        <w:rPr>
          <w:color w:val="auto"/>
        </w:rPr>
        <w:t>,</w:t>
      </w:r>
      <w:r w:rsidRPr="009D464F">
        <w:rPr>
          <w:color w:val="auto"/>
        </w:rPr>
        <w:t xml:space="preserve"> que ainda não tenham sido formalizadas por escritura pública junto ao Tabelionato de Registro de Imóveis</w:t>
      </w:r>
      <w:r w:rsidR="00447E93" w:rsidRPr="009D464F">
        <w:rPr>
          <w:color w:val="auto"/>
        </w:rPr>
        <w:t>, para pagamento em até 03 (três) parcelas mensais, iguais e consecutivas.</w:t>
      </w:r>
    </w:p>
    <w:p w14:paraId="469F10D5" w14:textId="77777777" w:rsidR="00447E93" w:rsidRPr="009D464F" w:rsidRDefault="00447E93" w:rsidP="00F83C7D">
      <w:pPr>
        <w:pStyle w:val="Default"/>
        <w:ind w:firstLine="2268"/>
        <w:jc w:val="both"/>
        <w:rPr>
          <w:color w:val="auto"/>
        </w:rPr>
      </w:pPr>
    </w:p>
    <w:p w14:paraId="74E3C29C" w14:textId="60AFAE63" w:rsidR="006C02D5" w:rsidRPr="009D464F" w:rsidRDefault="00447E93" w:rsidP="00F83C7D">
      <w:pPr>
        <w:pStyle w:val="Default"/>
        <w:ind w:firstLine="2268"/>
        <w:jc w:val="both"/>
        <w:rPr>
          <w:color w:val="auto"/>
        </w:rPr>
      </w:pPr>
      <w:r w:rsidRPr="009D464F">
        <w:rPr>
          <w:color w:val="auto"/>
        </w:rPr>
        <w:t>§ 1º</w:t>
      </w:r>
      <w:r w:rsidR="00D21925" w:rsidRPr="009D464F">
        <w:rPr>
          <w:color w:val="auto"/>
        </w:rPr>
        <w:t xml:space="preserve"> </w:t>
      </w:r>
      <w:r w:rsidR="006C02D5" w:rsidRPr="009D464F">
        <w:rPr>
          <w:color w:val="auto"/>
        </w:rPr>
        <w:t xml:space="preserve">Não se aplica o disposto no “caput” deste artigo </w:t>
      </w:r>
      <w:r w:rsidR="00D21925" w:rsidRPr="009D464F">
        <w:rPr>
          <w:color w:val="auto"/>
        </w:rPr>
        <w:t>à</w:t>
      </w:r>
      <w:r w:rsidR="006C02D5" w:rsidRPr="009D464F">
        <w:rPr>
          <w:color w:val="auto"/>
        </w:rPr>
        <w:t xml:space="preserve"> alíquota prevista no §1º do art. 216 do CTM.</w:t>
      </w:r>
    </w:p>
    <w:p w14:paraId="0290BF5F" w14:textId="77777777" w:rsidR="00447E93" w:rsidRPr="009D464F" w:rsidRDefault="00447E93" w:rsidP="00F83C7D">
      <w:pPr>
        <w:pStyle w:val="Default"/>
        <w:ind w:firstLine="2268"/>
        <w:jc w:val="both"/>
        <w:rPr>
          <w:color w:val="auto"/>
        </w:rPr>
      </w:pPr>
    </w:p>
    <w:p w14:paraId="36B4FE49" w14:textId="2AD3AC45" w:rsidR="00447E93" w:rsidRPr="009D464F" w:rsidRDefault="00447E93" w:rsidP="00447E93">
      <w:pPr>
        <w:pStyle w:val="Recuodecorpodetexto21"/>
        <w:ind w:firstLine="2268"/>
        <w:rPr>
          <w:bCs/>
          <w:szCs w:val="24"/>
          <w:lang w:bidi="pt-BR"/>
        </w:rPr>
      </w:pPr>
      <w:r w:rsidRPr="009D464F">
        <w:rPr>
          <w:bCs/>
          <w:szCs w:val="24"/>
          <w:lang w:bidi="pt-BR"/>
        </w:rPr>
        <w:t>§ 2º No caso de parcelamento do Imposto sobre Transmissão de Bens Imóveis ou de Direitos a eles relativos - ITBI, inscrito em dívida ativa, aplica-se o disposto na Lei nº 8.041/2011</w:t>
      </w:r>
      <w:r w:rsidR="007D3413" w:rsidRPr="009D464F">
        <w:rPr>
          <w:bCs/>
          <w:szCs w:val="24"/>
          <w:lang w:bidi="pt-BR"/>
        </w:rPr>
        <w:t>, ou outra que vier a substitui-la</w:t>
      </w:r>
      <w:r w:rsidRPr="009D464F">
        <w:rPr>
          <w:bCs/>
          <w:szCs w:val="24"/>
          <w:lang w:bidi="pt-BR"/>
        </w:rPr>
        <w:t>.</w:t>
      </w:r>
    </w:p>
    <w:p w14:paraId="6DD24F23" w14:textId="77777777" w:rsidR="003B2E37" w:rsidRPr="009D464F" w:rsidRDefault="003B2E37" w:rsidP="003B2E37">
      <w:pPr>
        <w:pStyle w:val="Default"/>
        <w:ind w:firstLine="2268"/>
        <w:jc w:val="both"/>
        <w:rPr>
          <w:color w:val="auto"/>
        </w:rPr>
      </w:pPr>
    </w:p>
    <w:p w14:paraId="17A93B5C" w14:textId="757EDFDF" w:rsidR="003B2E37" w:rsidRPr="009D464F" w:rsidRDefault="003B2E37" w:rsidP="003B2E37">
      <w:pPr>
        <w:pStyle w:val="Default"/>
        <w:ind w:firstLine="2268"/>
        <w:jc w:val="both"/>
        <w:rPr>
          <w:color w:val="auto"/>
        </w:rPr>
      </w:pPr>
      <w:r w:rsidRPr="009D464F">
        <w:rPr>
          <w:color w:val="auto"/>
        </w:rPr>
        <w:t>§ 3º</w:t>
      </w:r>
      <w:r w:rsidRPr="009D464F">
        <w:rPr>
          <w:b/>
          <w:bCs/>
          <w:color w:val="auto"/>
        </w:rPr>
        <w:t xml:space="preserve"> </w:t>
      </w:r>
      <w:r w:rsidRPr="009D464F">
        <w:rPr>
          <w:color w:val="auto"/>
        </w:rPr>
        <w:t xml:space="preserve">Não será concedido o benefício para transmissões que possuam guias já quitadas. </w:t>
      </w:r>
    </w:p>
    <w:p w14:paraId="054E7C2F" w14:textId="77777777" w:rsidR="006C02D5" w:rsidRPr="009D464F" w:rsidRDefault="006C02D5" w:rsidP="00F83C7D">
      <w:pPr>
        <w:pStyle w:val="Default"/>
        <w:ind w:firstLine="2268"/>
        <w:jc w:val="both"/>
        <w:rPr>
          <w:b/>
          <w:bCs/>
          <w:color w:val="auto"/>
        </w:rPr>
      </w:pPr>
    </w:p>
    <w:p w14:paraId="7668BDD0" w14:textId="55D6045A" w:rsidR="00770FE6" w:rsidRPr="009D464F" w:rsidRDefault="006C02D5" w:rsidP="00F83C7D">
      <w:pPr>
        <w:pStyle w:val="Default"/>
        <w:ind w:firstLine="2268"/>
        <w:jc w:val="both"/>
        <w:rPr>
          <w:color w:val="auto"/>
        </w:rPr>
      </w:pPr>
      <w:r w:rsidRPr="009D464F">
        <w:rPr>
          <w:color w:val="auto"/>
        </w:rPr>
        <w:t xml:space="preserve">Art. 3º </w:t>
      </w:r>
      <w:r w:rsidR="00770FE6" w:rsidRPr="009D464F">
        <w:rPr>
          <w:color w:val="auto"/>
        </w:rPr>
        <w:t>Para fins de enquadramento no incentivo de que trata esta Lei, o contribuinte deverá apresentar 1 (um) dos seguintes documentos comprobatórios de que a transação ocorreu no período especificado no artigo</w:t>
      </w:r>
      <w:r w:rsidR="00D21925" w:rsidRPr="009D464F">
        <w:rPr>
          <w:color w:val="auto"/>
        </w:rPr>
        <w:t xml:space="preserve"> anterior</w:t>
      </w:r>
      <w:r w:rsidR="00770FE6" w:rsidRPr="009D464F">
        <w:rPr>
          <w:color w:val="auto"/>
        </w:rPr>
        <w:t xml:space="preserve">: </w:t>
      </w:r>
    </w:p>
    <w:p w14:paraId="5BA54C1A" w14:textId="77777777" w:rsidR="00F83C7D" w:rsidRPr="009D464F" w:rsidRDefault="00F83C7D" w:rsidP="00F83C7D">
      <w:pPr>
        <w:pStyle w:val="Default"/>
        <w:ind w:firstLine="2268"/>
        <w:jc w:val="both"/>
        <w:rPr>
          <w:color w:val="auto"/>
        </w:rPr>
      </w:pPr>
    </w:p>
    <w:p w14:paraId="3F5CC42A" w14:textId="513C97F3" w:rsidR="00190BF7" w:rsidRPr="009D464F" w:rsidRDefault="00770FE6" w:rsidP="00190BF7">
      <w:pPr>
        <w:pStyle w:val="Default"/>
        <w:ind w:firstLine="2268"/>
        <w:jc w:val="both"/>
        <w:rPr>
          <w:color w:val="auto"/>
        </w:rPr>
      </w:pPr>
      <w:r w:rsidRPr="009D464F">
        <w:rPr>
          <w:color w:val="auto"/>
        </w:rPr>
        <w:t xml:space="preserve">I – </w:t>
      </w:r>
      <w:proofErr w:type="gramStart"/>
      <w:r w:rsidR="006C02D5" w:rsidRPr="009D464F">
        <w:rPr>
          <w:color w:val="auto"/>
        </w:rPr>
        <w:t>transferência</w:t>
      </w:r>
      <w:proofErr w:type="gramEnd"/>
      <w:r w:rsidRPr="009D464F">
        <w:rPr>
          <w:color w:val="auto"/>
        </w:rPr>
        <w:t xml:space="preserve"> realizad</w:t>
      </w:r>
      <w:r w:rsidR="006C02D5" w:rsidRPr="009D464F">
        <w:rPr>
          <w:color w:val="auto"/>
        </w:rPr>
        <w:t>a</w:t>
      </w:r>
      <w:r w:rsidRPr="009D464F">
        <w:rPr>
          <w:color w:val="auto"/>
        </w:rPr>
        <w:t xml:space="preserve"> por instrumento público, </w:t>
      </w:r>
      <w:r w:rsidR="00190BF7" w:rsidRPr="009D464F">
        <w:rPr>
          <w:color w:val="auto"/>
        </w:rPr>
        <w:t>lavrado até 31 de dezembro de 20</w:t>
      </w:r>
      <w:r w:rsidR="00D73200" w:rsidRPr="009D464F">
        <w:rPr>
          <w:color w:val="auto"/>
        </w:rPr>
        <w:t>18</w:t>
      </w:r>
      <w:r w:rsidR="00190BF7" w:rsidRPr="009D464F">
        <w:rPr>
          <w:color w:val="auto"/>
        </w:rPr>
        <w:t>;</w:t>
      </w:r>
    </w:p>
    <w:p w14:paraId="23009C6E" w14:textId="77777777" w:rsidR="00F83C7D" w:rsidRPr="009D464F" w:rsidRDefault="00F83C7D" w:rsidP="00F83C7D">
      <w:pPr>
        <w:pStyle w:val="Default"/>
        <w:ind w:firstLine="2268"/>
        <w:jc w:val="both"/>
        <w:rPr>
          <w:color w:val="auto"/>
        </w:rPr>
      </w:pPr>
    </w:p>
    <w:p w14:paraId="54049B7D" w14:textId="1C48694B" w:rsidR="00770FE6" w:rsidRPr="009D464F" w:rsidRDefault="00770FE6" w:rsidP="00F83C7D">
      <w:pPr>
        <w:pStyle w:val="Default"/>
        <w:ind w:firstLine="2268"/>
        <w:jc w:val="both"/>
        <w:rPr>
          <w:color w:val="auto"/>
        </w:rPr>
      </w:pPr>
      <w:r w:rsidRPr="009D464F">
        <w:rPr>
          <w:color w:val="auto"/>
        </w:rPr>
        <w:t xml:space="preserve">II – </w:t>
      </w:r>
      <w:proofErr w:type="gramStart"/>
      <w:r w:rsidR="006C02D5" w:rsidRPr="009D464F">
        <w:rPr>
          <w:color w:val="auto"/>
        </w:rPr>
        <w:t>transferência</w:t>
      </w:r>
      <w:proofErr w:type="gramEnd"/>
      <w:r w:rsidR="006C02D5" w:rsidRPr="009D464F">
        <w:rPr>
          <w:color w:val="auto"/>
        </w:rPr>
        <w:t xml:space="preserve"> </w:t>
      </w:r>
      <w:r w:rsidRPr="009D464F">
        <w:rPr>
          <w:color w:val="auto"/>
        </w:rPr>
        <w:t>realizad</w:t>
      </w:r>
      <w:r w:rsidR="006C02D5" w:rsidRPr="009D464F">
        <w:rPr>
          <w:color w:val="auto"/>
        </w:rPr>
        <w:t>a</w:t>
      </w:r>
      <w:r w:rsidRPr="009D464F">
        <w:rPr>
          <w:color w:val="auto"/>
        </w:rPr>
        <w:t xml:space="preserve"> por instrumento particular com firma reconhecida em cartório, desde que alguma das assinaturas tenha sido reconhecida até 31 de dezembro de 20</w:t>
      </w:r>
      <w:r w:rsidR="00D73200" w:rsidRPr="009D464F">
        <w:rPr>
          <w:color w:val="auto"/>
        </w:rPr>
        <w:t>18</w:t>
      </w:r>
      <w:r w:rsidRPr="009D464F">
        <w:rPr>
          <w:color w:val="auto"/>
        </w:rPr>
        <w:t>;</w:t>
      </w:r>
    </w:p>
    <w:p w14:paraId="1D499E80" w14:textId="77777777" w:rsidR="00F83C7D" w:rsidRPr="009D464F" w:rsidRDefault="00F83C7D" w:rsidP="00F83C7D">
      <w:pPr>
        <w:pStyle w:val="Default"/>
        <w:ind w:firstLine="2268"/>
        <w:jc w:val="both"/>
        <w:rPr>
          <w:color w:val="auto"/>
        </w:rPr>
      </w:pPr>
    </w:p>
    <w:p w14:paraId="4FCDEB38" w14:textId="50C09578" w:rsidR="00770FE6" w:rsidRPr="009D464F" w:rsidRDefault="00770FE6" w:rsidP="00F83C7D">
      <w:pPr>
        <w:pStyle w:val="Default"/>
        <w:ind w:firstLine="2268"/>
        <w:jc w:val="both"/>
        <w:rPr>
          <w:color w:val="auto"/>
        </w:rPr>
      </w:pPr>
      <w:r w:rsidRPr="009D464F">
        <w:rPr>
          <w:color w:val="auto"/>
        </w:rPr>
        <w:lastRenderedPageBreak/>
        <w:t xml:space="preserve">III – </w:t>
      </w:r>
      <w:r w:rsidR="006C02D5" w:rsidRPr="009D464F">
        <w:rPr>
          <w:color w:val="auto"/>
        </w:rPr>
        <w:t>transferência</w:t>
      </w:r>
      <w:r w:rsidRPr="009D464F">
        <w:rPr>
          <w:color w:val="auto"/>
        </w:rPr>
        <w:t xml:space="preserve"> realizad</w:t>
      </w:r>
      <w:r w:rsidR="006C02D5" w:rsidRPr="009D464F">
        <w:rPr>
          <w:color w:val="auto"/>
        </w:rPr>
        <w:t>a</w:t>
      </w:r>
      <w:r w:rsidRPr="009D464F">
        <w:rPr>
          <w:color w:val="auto"/>
        </w:rPr>
        <w:t xml:space="preserve"> por instrumento particular sem firma reconhecida em cartório, acompanhado de, pelo menos, 1 (um) dos seguintes documentos que comprove a ocorrência da transação até 31 de dezembro de 20</w:t>
      </w:r>
      <w:r w:rsidR="00D73200" w:rsidRPr="009D464F">
        <w:rPr>
          <w:color w:val="auto"/>
        </w:rPr>
        <w:t>18</w:t>
      </w:r>
      <w:r w:rsidRPr="009D464F">
        <w:rPr>
          <w:color w:val="auto"/>
        </w:rPr>
        <w:t xml:space="preserve">: </w:t>
      </w:r>
    </w:p>
    <w:p w14:paraId="6B6C55D1" w14:textId="77777777" w:rsidR="00F83C7D" w:rsidRPr="009D464F" w:rsidRDefault="00F83C7D" w:rsidP="00F83C7D">
      <w:pPr>
        <w:pStyle w:val="Default"/>
        <w:ind w:firstLine="2268"/>
        <w:jc w:val="both"/>
        <w:rPr>
          <w:color w:val="auto"/>
        </w:rPr>
      </w:pPr>
    </w:p>
    <w:p w14:paraId="29C590E5" w14:textId="452F2EAE" w:rsidR="00770FE6" w:rsidRPr="009D464F" w:rsidRDefault="00770FE6" w:rsidP="00F83C7D">
      <w:pPr>
        <w:pStyle w:val="Default"/>
        <w:ind w:firstLine="2268"/>
        <w:jc w:val="both"/>
        <w:rPr>
          <w:color w:val="auto"/>
        </w:rPr>
      </w:pPr>
      <w:r w:rsidRPr="009D464F">
        <w:rPr>
          <w:color w:val="auto"/>
        </w:rPr>
        <w:t>a) assinatura eletrônica ou digital datadas até 31 de dezembro de 20</w:t>
      </w:r>
      <w:r w:rsidR="00D73200" w:rsidRPr="009D464F">
        <w:rPr>
          <w:color w:val="auto"/>
        </w:rPr>
        <w:t>18</w:t>
      </w:r>
      <w:r w:rsidRPr="009D464F">
        <w:rPr>
          <w:color w:val="auto"/>
        </w:rPr>
        <w:t xml:space="preserve">; </w:t>
      </w:r>
    </w:p>
    <w:p w14:paraId="276CE9AB" w14:textId="77777777" w:rsidR="00F83C7D" w:rsidRPr="009D464F" w:rsidRDefault="00F83C7D" w:rsidP="00F83C7D">
      <w:pPr>
        <w:pStyle w:val="Default"/>
        <w:ind w:firstLine="2268"/>
        <w:jc w:val="both"/>
        <w:rPr>
          <w:color w:val="auto"/>
        </w:rPr>
      </w:pPr>
    </w:p>
    <w:p w14:paraId="1B547AF5" w14:textId="77777777" w:rsidR="00770FE6" w:rsidRPr="009D464F" w:rsidRDefault="00770FE6" w:rsidP="00F83C7D">
      <w:pPr>
        <w:pStyle w:val="Default"/>
        <w:ind w:firstLine="2268"/>
        <w:jc w:val="both"/>
        <w:rPr>
          <w:color w:val="auto"/>
        </w:rPr>
      </w:pPr>
      <w:r w:rsidRPr="009D464F">
        <w:rPr>
          <w:color w:val="auto"/>
        </w:rPr>
        <w:t xml:space="preserve">b) decisão judicial; </w:t>
      </w:r>
    </w:p>
    <w:p w14:paraId="4BB44FE8" w14:textId="77777777" w:rsidR="00F83C7D" w:rsidRPr="009D464F" w:rsidRDefault="00F83C7D" w:rsidP="00F83C7D">
      <w:pPr>
        <w:pStyle w:val="Default"/>
        <w:ind w:firstLine="2268"/>
        <w:jc w:val="both"/>
        <w:rPr>
          <w:color w:val="auto"/>
        </w:rPr>
      </w:pPr>
    </w:p>
    <w:p w14:paraId="12FDD3B6" w14:textId="2B4C6583" w:rsidR="00770FE6" w:rsidRPr="009D464F" w:rsidRDefault="00770FE6" w:rsidP="00F83C7D">
      <w:pPr>
        <w:pStyle w:val="Default"/>
        <w:ind w:firstLine="2268"/>
        <w:jc w:val="both"/>
        <w:rPr>
          <w:color w:val="auto"/>
        </w:rPr>
      </w:pPr>
      <w:r w:rsidRPr="009D464F">
        <w:rPr>
          <w:color w:val="auto"/>
        </w:rPr>
        <w:t>c) declaração de imposto de renda na qual conste a indicação da aquisição e que seja de ano-base anterior a 31 de dezembro de 20</w:t>
      </w:r>
      <w:r w:rsidR="00D73200" w:rsidRPr="009D464F">
        <w:rPr>
          <w:color w:val="auto"/>
        </w:rPr>
        <w:t>18</w:t>
      </w:r>
      <w:r w:rsidRPr="009D464F">
        <w:rPr>
          <w:color w:val="auto"/>
        </w:rPr>
        <w:t xml:space="preserve">; </w:t>
      </w:r>
    </w:p>
    <w:p w14:paraId="0F65E507" w14:textId="77777777" w:rsidR="00F83C7D" w:rsidRPr="009D464F" w:rsidRDefault="00F83C7D" w:rsidP="00F83C7D">
      <w:pPr>
        <w:pStyle w:val="Default"/>
        <w:ind w:firstLine="2268"/>
        <w:jc w:val="both"/>
        <w:rPr>
          <w:color w:val="auto"/>
        </w:rPr>
      </w:pPr>
    </w:p>
    <w:p w14:paraId="2EAFA444" w14:textId="7BE6B565" w:rsidR="00770FE6" w:rsidRPr="009D464F" w:rsidRDefault="00770FE6" w:rsidP="00F83C7D">
      <w:pPr>
        <w:pStyle w:val="Default"/>
        <w:ind w:firstLine="2268"/>
        <w:jc w:val="both"/>
        <w:rPr>
          <w:color w:val="auto"/>
        </w:rPr>
      </w:pPr>
      <w:r w:rsidRPr="009D464F">
        <w:rPr>
          <w:color w:val="auto"/>
        </w:rPr>
        <w:t>d) comprovante bancário de que houve pagamento, ainda que parcial, efetuado até 31 de dezembro de 20</w:t>
      </w:r>
      <w:r w:rsidR="00D73200" w:rsidRPr="009D464F">
        <w:rPr>
          <w:color w:val="auto"/>
        </w:rPr>
        <w:t>18</w:t>
      </w:r>
      <w:r w:rsidRPr="009D464F">
        <w:rPr>
          <w:color w:val="auto"/>
        </w:rPr>
        <w:t xml:space="preserve">, referente ao contrato apresentado; </w:t>
      </w:r>
    </w:p>
    <w:p w14:paraId="27706A3B" w14:textId="77777777" w:rsidR="00F83C7D" w:rsidRPr="009D464F" w:rsidRDefault="00F83C7D" w:rsidP="00F83C7D">
      <w:pPr>
        <w:pStyle w:val="Default"/>
        <w:ind w:firstLine="2268"/>
        <w:jc w:val="both"/>
        <w:rPr>
          <w:color w:val="auto"/>
        </w:rPr>
      </w:pPr>
    </w:p>
    <w:p w14:paraId="233D928E" w14:textId="30C22E4F" w:rsidR="00770FE6" w:rsidRPr="009D464F" w:rsidRDefault="00770FE6" w:rsidP="00F83C7D">
      <w:pPr>
        <w:pStyle w:val="Default"/>
        <w:ind w:firstLine="2268"/>
        <w:jc w:val="both"/>
        <w:rPr>
          <w:color w:val="auto"/>
        </w:rPr>
      </w:pPr>
      <w:r w:rsidRPr="009D464F">
        <w:rPr>
          <w:color w:val="auto"/>
        </w:rPr>
        <w:t>e) termo de quitação com firma reconhecida, assinatura eletrônica ou digital, até 31 de dezembro de 20</w:t>
      </w:r>
      <w:r w:rsidR="00D73200" w:rsidRPr="009D464F">
        <w:rPr>
          <w:color w:val="auto"/>
        </w:rPr>
        <w:t>18</w:t>
      </w:r>
      <w:r w:rsidRPr="009D464F">
        <w:rPr>
          <w:color w:val="auto"/>
        </w:rPr>
        <w:t xml:space="preserve">. </w:t>
      </w:r>
    </w:p>
    <w:p w14:paraId="32D597DB" w14:textId="77777777" w:rsidR="00F83C7D" w:rsidRPr="009D464F" w:rsidRDefault="00F83C7D" w:rsidP="00F83C7D">
      <w:pPr>
        <w:pStyle w:val="Default"/>
        <w:ind w:firstLine="2268"/>
        <w:jc w:val="both"/>
        <w:rPr>
          <w:color w:val="auto"/>
        </w:rPr>
      </w:pPr>
    </w:p>
    <w:p w14:paraId="65446D54" w14:textId="1A792315" w:rsidR="003B2E37" w:rsidRPr="009D464F" w:rsidRDefault="003B2E37" w:rsidP="003B2E37">
      <w:pPr>
        <w:pStyle w:val="Default"/>
        <w:ind w:firstLine="2268"/>
        <w:jc w:val="both"/>
        <w:rPr>
          <w:rFonts w:eastAsia="Times New Roman"/>
          <w:color w:val="auto"/>
          <w:shd w:val="clear" w:color="auto" w:fill="FFFFFF"/>
        </w:rPr>
      </w:pPr>
      <w:r w:rsidRPr="009D464F">
        <w:rPr>
          <w:rFonts w:eastAsia="Times New Roman"/>
          <w:color w:val="auto"/>
          <w:shd w:val="clear" w:color="auto" w:fill="FFFFFF"/>
        </w:rPr>
        <w:t>Art. 4º A Certidão Negativa de Débitos, necessária para a lavratura da escritura e o registro do título no Registro Imobiliário competente, será expedida após a quitação integral do parcelamento de ITBI.</w:t>
      </w:r>
    </w:p>
    <w:p w14:paraId="0D2314AC" w14:textId="77777777" w:rsidR="003B2E37" w:rsidRPr="009D464F" w:rsidRDefault="003B2E37" w:rsidP="003B2E37">
      <w:pPr>
        <w:spacing w:line="240" w:lineRule="auto"/>
        <w:ind w:firstLine="2268"/>
        <w:jc w:val="both"/>
        <w:rPr>
          <w:rFonts w:ascii="Times New Roman" w:eastAsia="Times New Roman" w:hAnsi="Times New Roman" w:cs="Times New Roman"/>
          <w:sz w:val="24"/>
          <w:szCs w:val="24"/>
          <w:shd w:val="clear" w:color="auto" w:fill="FFFFFF"/>
        </w:rPr>
      </w:pPr>
    </w:p>
    <w:p w14:paraId="15DCC635" w14:textId="77777777" w:rsidR="003B2E37" w:rsidRPr="009D464F" w:rsidRDefault="003B2E37" w:rsidP="003B2E37">
      <w:pPr>
        <w:spacing w:line="240" w:lineRule="auto"/>
        <w:ind w:firstLine="2268"/>
        <w:jc w:val="both"/>
        <w:rPr>
          <w:rFonts w:ascii="Times New Roman" w:eastAsia="Times New Roman" w:hAnsi="Times New Roman" w:cs="Times New Roman"/>
          <w:sz w:val="24"/>
          <w:szCs w:val="24"/>
          <w:shd w:val="clear" w:color="auto" w:fill="FFFFFF"/>
        </w:rPr>
      </w:pPr>
      <w:r w:rsidRPr="009D464F">
        <w:rPr>
          <w:rFonts w:ascii="Times New Roman" w:eastAsia="Times New Roman" w:hAnsi="Times New Roman" w:cs="Times New Roman"/>
          <w:sz w:val="24"/>
          <w:szCs w:val="24"/>
          <w:shd w:val="clear" w:color="auto" w:fill="FFFFFF"/>
        </w:rPr>
        <w:t>Parágrafo único. A transferência automática da titularidade de propriedade do imóvel no cadastro de imóveis municipais, ocorrerá somente após a quitação da última parcela.</w:t>
      </w:r>
    </w:p>
    <w:p w14:paraId="5FF8C257" w14:textId="77777777" w:rsidR="003B2E37" w:rsidRPr="009D464F" w:rsidRDefault="003B2E37" w:rsidP="00F83C7D">
      <w:pPr>
        <w:pStyle w:val="Default"/>
        <w:ind w:firstLine="2268"/>
        <w:jc w:val="both"/>
        <w:rPr>
          <w:color w:val="auto"/>
        </w:rPr>
      </w:pPr>
    </w:p>
    <w:p w14:paraId="1FE2362C" w14:textId="4C3D0EAC" w:rsidR="003B2E37" w:rsidRPr="009D464F" w:rsidRDefault="003B2E37" w:rsidP="003B2E37">
      <w:pPr>
        <w:spacing w:line="240" w:lineRule="auto"/>
        <w:ind w:firstLine="2268"/>
        <w:jc w:val="both"/>
        <w:rPr>
          <w:rFonts w:ascii="Times New Roman" w:eastAsia="Times New Roman" w:hAnsi="Times New Roman" w:cs="Times New Roman"/>
          <w:sz w:val="24"/>
          <w:szCs w:val="24"/>
          <w:shd w:val="clear" w:color="auto" w:fill="FFFFFF"/>
        </w:rPr>
      </w:pPr>
      <w:r w:rsidRPr="009D464F">
        <w:rPr>
          <w:rFonts w:ascii="Times New Roman" w:hAnsi="Times New Roman" w:cs="Times New Roman"/>
          <w:sz w:val="24"/>
          <w:szCs w:val="24"/>
        </w:rPr>
        <w:t xml:space="preserve">Art. 5º </w:t>
      </w:r>
      <w:r w:rsidRPr="009D464F">
        <w:rPr>
          <w:rFonts w:ascii="Times New Roman" w:eastAsia="Times New Roman" w:hAnsi="Times New Roman" w:cs="Times New Roman"/>
          <w:sz w:val="24"/>
          <w:szCs w:val="24"/>
          <w:shd w:val="clear" w:color="auto" w:fill="FFFFFF"/>
        </w:rPr>
        <w:t xml:space="preserve">O programa instituído por esta Lei também se aplica ao Imposto Predial Territorial Urbano – IPTU e Taxa de Coleta de Resíduos Sólidos Urbanos, dos bens imóveis objeto de redução de ITBI desta Lei, inscritos em dívida ativa, protestados ou a protestar, ajuizados ou a ajuizar, </w:t>
      </w:r>
      <w:r w:rsidR="00A9531D" w:rsidRPr="009D464F">
        <w:rPr>
          <w:rFonts w:ascii="Times New Roman" w:eastAsia="Times New Roman" w:hAnsi="Times New Roman" w:cs="Times New Roman"/>
          <w:sz w:val="24"/>
          <w:szCs w:val="24"/>
          <w:shd w:val="clear" w:color="auto" w:fill="FFFFFF"/>
        </w:rPr>
        <w:t>após</w:t>
      </w:r>
      <w:r w:rsidRPr="009D464F">
        <w:rPr>
          <w:rFonts w:ascii="Times New Roman" w:eastAsia="Times New Roman" w:hAnsi="Times New Roman" w:cs="Times New Roman"/>
          <w:sz w:val="24"/>
          <w:szCs w:val="24"/>
          <w:shd w:val="clear" w:color="auto" w:fill="FFFFFF"/>
        </w:rPr>
        <w:t xml:space="preserve"> a quitação integral do ITBI, nos termos deste artigo.</w:t>
      </w:r>
    </w:p>
    <w:p w14:paraId="4444F274" w14:textId="77777777" w:rsidR="003B2E37" w:rsidRPr="009D464F" w:rsidRDefault="003B2E37" w:rsidP="003B2E37">
      <w:pPr>
        <w:spacing w:line="240" w:lineRule="auto"/>
        <w:ind w:firstLine="2268"/>
        <w:jc w:val="both"/>
        <w:rPr>
          <w:rFonts w:ascii="Times New Roman" w:eastAsia="Times New Roman" w:hAnsi="Times New Roman" w:cs="Times New Roman"/>
          <w:sz w:val="24"/>
          <w:szCs w:val="24"/>
          <w:shd w:val="clear" w:color="auto" w:fill="FFFFFF"/>
        </w:rPr>
      </w:pPr>
    </w:p>
    <w:p w14:paraId="24161606" w14:textId="05A0D0F8" w:rsidR="003B2E37" w:rsidRPr="009D464F" w:rsidRDefault="003B2E37" w:rsidP="003B2E37">
      <w:pPr>
        <w:pStyle w:val="Default"/>
        <w:ind w:firstLine="2268"/>
        <w:jc w:val="both"/>
        <w:rPr>
          <w:color w:val="auto"/>
        </w:rPr>
      </w:pPr>
      <w:r w:rsidRPr="009D464F">
        <w:rPr>
          <w:color w:val="auto"/>
        </w:rPr>
        <w:t>§ 1º Os contribuintes que aderirem a este Programa, após quitação integral do ITBI, farão jus a</w:t>
      </w:r>
      <w:r w:rsidRPr="009D464F">
        <w:rPr>
          <w:rFonts w:eastAsia="Times New Roman"/>
          <w:color w:val="auto"/>
          <w:shd w:val="clear" w:color="auto" w:fill="FFFFFF"/>
        </w:rPr>
        <w:t xml:space="preserve"> redução de 100% (cem por cento) da somatória de multa de mora e de oficio e juros de mora da dívida em cobrança relativa aos </w:t>
      </w:r>
      <w:r w:rsidR="002536EA" w:rsidRPr="009D464F">
        <w:rPr>
          <w:rFonts w:eastAsia="Times New Roman"/>
          <w:color w:val="auto"/>
          <w:shd w:val="clear" w:color="auto" w:fill="FFFFFF"/>
        </w:rPr>
        <w:t>débitos tributários</w:t>
      </w:r>
      <w:r w:rsidRPr="009D464F">
        <w:rPr>
          <w:rFonts w:eastAsia="Times New Roman"/>
          <w:color w:val="auto"/>
          <w:shd w:val="clear" w:color="auto" w:fill="FFFFFF"/>
        </w:rPr>
        <w:t xml:space="preserve"> de Imposto Predial Territorial Urbano – IPTU e </w:t>
      </w:r>
      <w:r w:rsidR="002536EA" w:rsidRPr="009D464F">
        <w:rPr>
          <w:rFonts w:eastAsia="Times New Roman"/>
          <w:color w:val="auto"/>
          <w:shd w:val="clear" w:color="auto" w:fill="FFFFFF"/>
        </w:rPr>
        <w:t xml:space="preserve">de </w:t>
      </w:r>
      <w:r w:rsidRPr="009D464F">
        <w:rPr>
          <w:rFonts w:eastAsia="Times New Roman"/>
          <w:color w:val="auto"/>
          <w:shd w:val="clear" w:color="auto" w:fill="FFFFFF"/>
        </w:rPr>
        <w:t>Taxa de Coleta de Resíduos Sólidos Urbanos dos imóveis objeto do ITBI quitado nos termos desta Lei, atualizados monetariamente, para</w:t>
      </w:r>
      <w:r w:rsidR="008F3038">
        <w:rPr>
          <w:rFonts w:eastAsia="Times New Roman"/>
          <w:color w:val="auto"/>
          <w:shd w:val="clear" w:color="auto" w:fill="FFFFFF"/>
        </w:rPr>
        <w:t xml:space="preserve"> o</w:t>
      </w:r>
      <w:r w:rsidRPr="009D464F">
        <w:rPr>
          <w:rFonts w:eastAsia="Times New Roman"/>
          <w:color w:val="auto"/>
          <w:shd w:val="clear" w:color="auto" w:fill="FFFFFF"/>
        </w:rPr>
        <w:t xml:space="preserve"> pagamento </w:t>
      </w:r>
      <w:r w:rsidR="00E47EE4" w:rsidRPr="009D464F">
        <w:rPr>
          <w:rFonts w:eastAsia="Times New Roman"/>
          <w:color w:val="auto"/>
          <w:shd w:val="clear" w:color="auto" w:fill="FFFFFF"/>
        </w:rPr>
        <w:t xml:space="preserve">do valor total do débito </w:t>
      </w:r>
      <w:r w:rsidRPr="009D464F">
        <w:rPr>
          <w:rFonts w:eastAsia="Times New Roman"/>
          <w:color w:val="auto"/>
          <w:shd w:val="clear" w:color="auto" w:fill="FFFFFF"/>
        </w:rPr>
        <w:t>em até 03 (três) parcelas mensais, iguais e consecutivas.</w:t>
      </w:r>
    </w:p>
    <w:p w14:paraId="6A8BEF06" w14:textId="77777777" w:rsidR="003B2E37" w:rsidRPr="009D464F" w:rsidRDefault="003B2E37" w:rsidP="003B2E37">
      <w:pPr>
        <w:spacing w:line="240" w:lineRule="auto"/>
        <w:ind w:firstLine="2268"/>
        <w:jc w:val="both"/>
        <w:rPr>
          <w:rFonts w:ascii="Times New Roman" w:eastAsia="Times New Roman" w:hAnsi="Times New Roman" w:cs="Times New Roman"/>
          <w:sz w:val="24"/>
          <w:szCs w:val="24"/>
          <w:shd w:val="clear" w:color="auto" w:fill="FFFFFF"/>
        </w:rPr>
      </w:pPr>
      <w:bookmarkStart w:id="0" w:name="artigo_7"/>
    </w:p>
    <w:bookmarkEnd w:id="0"/>
    <w:p w14:paraId="6AC3D59E" w14:textId="1B8852EE" w:rsidR="003B2E37" w:rsidRPr="009D464F" w:rsidRDefault="003B2E37" w:rsidP="003B2E37">
      <w:pPr>
        <w:spacing w:line="240" w:lineRule="auto"/>
        <w:ind w:firstLine="2268"/>
        <w:jc w:val="both"/>
        <w:rPr>
          <w:rFonts w:ascii="Times New Roman" w:eastAsia="Times New Roman" w:hAnsi="Times New Roman" w:cs="Times New Roman"/>
          <w:sz w:val="24"/>
          <w:szCs w:val="24"/>
          <w:shd w:val="clear" w:color="auto" w:fill="FFFFFF"/>
        </w:rPr>
      </w:pPr>
      <w:r w:rsidRPr="009D464F">
        <w:rPr>
          <w:rFonts w:ascii="Times New Roman" w:eastAsia="Times New Roman" w:hAnsi="Times New Roman" w:cs="Times New Roman"/>
          <w:sz w:val="24"/>
          <w:szCs w:val="24"/>
          <w:shd w:val="clear" w:color="auto" w:fill="FFFFFF"/>
        </w:rPr>
        <w:t>§ 2º Caso o contribuinte ou usuário tenha parcelamento em curso e opte pelos benefícios desta Lei, deverá renunciá-lo e aderir a novo parcelamento, no qual o benefício será concedido apenas sobre o valor da multa e juros incidentes sobre o saldo remanescente, nos termos desta Lei.</w:t>
      </w:r>
      <w:bookmarkStart w:id="1" w:name="artigo_8"/>
    </w:p>
    <w:bookmarkEnd w:id="1"/>
    <w:p w14:paraId="37F181EB" w14:textId="7E579B66" w:rsidR="00096572" w:rsidRPr="009D464F" w:rsidRDefault="00096572" w:rsidP="003B2E37">
      <w:pPr>
        <w:pStyle w:val="Default"/>
        <w:ind w:firstLine="2268"/>
        <w:jc w:val="both"/>
        <w:rPr>
          <w:color w:val="auto"/>
        </w:rPr>
      </w:pPr>
    </w:p>
    <w:p w14:paraId="719AA40A" w14:textId="2444FADC" w:rsidR="00447E93" w:rsidRPr="009D464F" w:rsidRDefault="00770FE6" w:rsidP="00447E93">
      <w:pPr>
        <w:pStyle w:val="Default"/>
        <w:ind w:firstLine="2268"/>
        <w:jc w:val="both"/>
        <w:rPr>
          <w:color w:val="auto"/>
        </w:rPr>
      </w:pPr>
      <w:r w:rsidRPr="009D464F">
        <w:rPr>
          <w:color w:val="auto"/>
        </w:rPr>
        <w:t xml:space="preserve">Art. </w:t>
      </w:r>
      <w:r w:rsidR="003B2E37" w:rsidRPr="009D464F">
        <w:rPr>
          <w:color w:val="auto"/>
        </w:rPr>
        <w:t>6</w:t>
      </w:r>
      <w:r w:rsidRPr="009D464F">
        <w:rPr>
          <w:color w:val="auto"/>
        </w:rPr>
        <w:t>º</w:t>
      </w:r>
      <w:r w:rsidR="00447E93" w:rsidRPr="009D464F">
        <w:rPr>
          <w:b/>
          <w:bCs/>
          <w:color w:val="auto"/>
        </w:rPr>
        <w:t xml:space="preserve"> </w:t>
      </w:r>
      <w:r w:rsidR="00447E93" w:rsidRPr="009D464F">
        <w:rPr>
          <w:color w:val="auto"/>
        </w:rPr>
        <w:t>Na hipótese de adesão para pagamento à vista ou parcelado</w:t>
      </w:r>
      <w:r w:rsidR="003B2E37" w:rsidRPr="009D464F">
        <w:rPr>
          <w:color w:val="auto"/>
        </w:rPr>
        <w:t xml:space="preserve"> dos créditos municipais de que trata esta Lei</w:t>
      </w:r>
      <w:r w:rsidR="00447E93" w:rsidRPr="009D464F">
        <w:rPr>
          <w:color w:val="auto"/>
        </w:rPr>
        <w:t>, o vencimento da primeira parcela ocorrerá em até 10 (dez) dias após a adesão ao benefício, sendo que as demais vencerão na mesma data dos meses subsequentes.</w:t>
      </w:r>
    </w:p>
    <w:p w14:paraId="5493FD81" w14:textId="77777777" w:rsidR="00447E93" w:rsidRPr="009D464F" w:rsidRDefault="00447E93" w:rsidP="00447E93">
      <w:pPr>
        <w:pStyle w:val="Default"/>
        <w:ind w:firstLine="2268"/>
        <w:jc w:val="both"/>
        <w:rPr>
          <w:color w:val="auto"/>
        </w:rPr>
      </w:pPr>
    </w:p>
    <w:p w14:paraId="791B99A0" w14:textId="3B75F005" w:rsidR="00F83C7D" w:rsidRPr="009D464F" w:rsidRDefault="00447E93" w:rsidP="00447E93">
      <w:pPr>
        <w:pStyle w:val="Default"/>
        <w:ind w:firstLine="2268"/>
        <w:jc w:val="both"/>
        <w:rPr>
          <w:color w:val="auto"/>
        </w:rPr>
      </w:pPr>
      <w:r w:rsidRPr="009D464F">
        <w:rPr>
          <w:color w:val="auto"/>
        </w:rPr>
        <w:lastRenderedPageBreak/>
        <w:t>Parágrafo único. O atraso na quitação de qualquer parcela por período superior a 60 (sessenta) dias, o parcelamento será cancelado e será apurado o valor do débito que deu origem ao parcelamento, com a restauração do valor original do crédito, incluindo-se as multas, juros e correção monetária, e deduzidos os valores pagos, restabelecendo-se pelo remanescente, que voltará a ser exigível sem eventuais benefícios fiscais concedidos por esta Lei, dando-se prosseguimento imediato a sua cobrança.</w:t>
      </w:r>
    </w:p>
    <w:p w14:paraId="1083EF71" w14:textId="77777777" w:rsidR="00F83C7D" w:rsidRPr="009D464F" w:rsidRDefault="00F83C7D" w:rsidP="00F83C7D">
      <w:pPr>
        <w:pStyle w:val="Default"/>
        <w:ind w:firstLine="2268"/>
        <w:jc w:val="both"/>
        <w:rPr>
          <w:color w:val="auto"/>
        </w:rPr>
      </w:pPr>
    </w:p>
    <w:p w14:paraId="6299F897" w14:textId="6FBE0681" w:rsidR="003B2E37" w:rsidRPr="009D464F" w:rsidRDefault="00D21925" w:rsidP="003B2E37">
      <w:pPr>
        <w:pStyle w:val="Default"/>
        <w:ind w:firstLine="2268"/>
        <w:jc w:val="both"/>
        <w:rPr>
          <w:color w:val="auto"/>
        </w:rPr>
      </w:pPr>
      <w:bookmarkStart w:id="2" w:name="artigo_3"/>
      <w:r w:rsidRPr="009D464F">
        <w:rPr>
          <w:color w:val="auto"/>
        </w:rPr>
        <w:t xml:space="preserve">Art. </w:t>
      </w:r>
      <w:bookmarkEnd w:id="2"/>
      <w:r w:rsidRPr="009D464F">
        <w:rPr>
          <w:color w:val="auto"/>
        </w:rPr>
        <w:t xml:space="preserve">7º A adesão ao Programa instituído nesta Lei </w:t>
      </w:r>
      <w:r w:rsidR="003B2E37" w:rsidRPr="009D464F">
        <w:rPr>
          <w:color w:val="auto"/>
        </w:rPr>
        <w:t>importa em confissão irretratável e irrevogável da dívida e implica em expressa renúncia ou desistência de quaisquer meios de defesa ou recurso administrativo ou judicial, no caso de cobrança judicial ou extrajudicial, impondo ao sujeito passivo a aceitação plena e irretratável de todas as condições estabelecidas nesta lei, produzindo os efeitos previstos na  alínea “c”, do inciso III do “caput” do art. 487 do Código de Processo Civil, parágrafo único do artigo 174 do Código Tributário Nacional, inciso VI do artigo 202 do Código Civil, conforme a natureza do débito, independentemente de superveniente inadimplemento que ocasione o cancelamento do parcelamento e não constitui novação.</w:t>
      </w:r>
    </w:p>
    <w:p w14:paraId="47E29A56" w14:textId="77777777" w:rsidR="003B2E37" w:rsidRPr="009D464F" w:rsidRDefault="003B2E37" w:rsidP="003B2E37">
      <w:pPr>
        <w:pStyle w:val="Default"/>
        <w:ind w:firstLine="2268"/>
        <w:jc w:val="both"/>
        <w:rPr>
          <w:color w:val="auto"/>
        </w:rPr>
      </w:pPr>
    </w:p>
    <w:p w14:paraId="51531DC2" w14:textId="77777777" w:rsidR="003B2E37" w:rsidRPr="009D464F" w:rsidRDefault="003B2E37" w:rsidP="003B2E37">
      <w:pPr>
        <w:pStyle w:val="Default"/>
        <w:ind w:firstLine="2268"/>
        <w:jc w:val="both"/>
        <w:rPr>
          <w:color w:val="auto"/>
        </w:rPr>
      </w:pPr>
      <w:r w:rsidRPr="009D464F">
        <w:rPr>
          <w:color w:val="auto"/>
        </w:rPr>
        <w:t>Parágrafo único. Relativos aos débitos objetos de ação de execução fiscal e de protesto, nos termos dos §7º e §9º da Lei nº 8.619/2017, serão devidos pelos sujeitos passivos que aderirem ao Programa Municipal de Incentivo à recuperação de créditos de que trata esta Lei, nos termos do art. 85 da Lei Federal nº 13.105/2015, honorários advocatícios no importe de 10% (dez por cento) sobre o valor dos acordos celebrados, já computados os descontos previstos no artigo 5º desta Lei.</w:t>
      </w:r>
    </w:p>
    <w:p w14:paraId="45D820BB" w14:textId="77777777" w:rsidR="00447E93" w:rsidRPr="009D464F" w:rsidRDefault="00447E93" w:rsidP="00F83C7D">
      <w:pPr>
        <w:pStyle w:val="Default"/>
        <w:ind w:firstLine="2268"/>
        <w:jc w:val="both"/>
        <w:rPr>
          <w:color w:val="auto"/>
        </w:rPr>
      </w:pPr>
    </w:p>
    <w:p w14:paraId="0CCE6AFF" w14:textId="2DAE4DFB" w:rsidR="00770FE6" w:rsidRPr="009D464F" w:rsidRDefault="00770FE6" w:rsidP="00F83C7D">
      <w:pPr>
        <w:widowControl w:val="0"/>
        <w:pBdr>
          <w:top w:val="nil"/>
          <w:left w:val="nil"/>
          <w:bottom w:val="nil"/>
          <w:right w:val="nil"/>
          <w:between w:val="nil"/>
        </w:pBdr>
        <w:spacing w:line="240" w:lineRule="auto"/>
        <w:ind w:firstLine="2268"/>
        <w:jc w:val="both"/>
        <w:rPr>
          <w:rFonts w:ascii="Times New Roman" w:hAnsi="Times New Roman" w:cs="Times New Roman"/>
          <w:b/>
          <w:bCs/>
          <w:sz w:val="24"/>
          <w:szCs w:val="24"/>
        </w:rPr>
      </w:pPr>
      <w:r w:rsidRPr="009D464F">
        <w:rPr>
          <w:rFonts w:ascii="Times New Roman" w:hAnsi="Times New Roman" w:cs="Times New Roman"/>
          <w:sz w:val="24"/>
          <w:szCs w:val="24"/>
        </w:rPr>
        <w:t xml:space="preserve">Art. </w:t>
      </w:r>
      <w:r w:rsidR="003B2E37" w:rsidRPr="009D464F">
        <w:rPr>
          <w:rFonts w:ascii="Times New Roman" w:hAnsi="Times New Roman" w:cs="Times New Roman"/>
          <w:sz w:val="24"/>
          <w:szCs w:val="24"/>
        </w:rPr>
        <w:t>8</w:t>
      </w:r>
      <w:r w:rsidRPr="009D464F">
        <w:rPr>
          <w:rFonts w:ascii="Times New Roman" w:hAnsi="Times New Roman" w:cs="Times New Roman"/>
          <w:sz w:val="24"/>
          <w:szCs w:val="24"/>
        </w:rPr>
        <w:t>º</w:t>
      </w:r>
      <w:r w:rsidRPr="009D464F">
        <w:rPr>
          <w:rFonts w:ascii="Times New Roman" w:hAnsi="Times New Roman" w:cs="Times New Roman"/>
          <w:b/>
          <w:bCs/>
          <w:sz w:val="24"/>
          <w:szCs w:val="24"/>
        </w:rPr>
        <w:t xml:space="preserve"> </w:t>
      </w:r>
      <w:r w:rsidRPr="009D464F">
        <w:rPr>
          <w:rFonts w:ascii="Times New Roman" w:hAnsi="Times New Roman" w:cs="Times New Roman"/>
          <w:sz w:val="24"/>
          <w:szCs w:val="24"/>
        </w:rPr>
        <w:t>Esta Lei entra em vigor na data de sua publicação.</w:t>
      </w:r>
    </w:p>
    <w:p w14:paraId="0A903281" w14:textId="77777777" w:rsidR="00F83C7D" w:rsidRPr="009D464F" w:rsidRDefault="00F83C7D" w:rsidP="00F83C7D">
      <w:pPr>
        <w:widowControl w:val="0"/>
        <w:tabs>
          <w:tab w:val="left" w:pos="2160"/>
        </w:tabs>
        <w:suppressAutoHyphens/>
        <w:autoSpaceDE w:val="0"/>
        <w:autoSpaceDN w:val="0"/>
        <w:adjustRightInd w:val="0"/>
        <w:spacing w:line="240" w:lineRule="auto"/>
        <w:ind w:firstLine="2268"/>
        <w:rPr>
          <w:rFonts w:ascii="Times New Roman" w:hAnsi="Times New Roman" w:cs="Times New Roman"/>
          <w:bCs/>
          <w:sz w:val="24"/>
          <w:szCs w:val="24"/>
        </w:rPr>
      </w:pPr>
    </w:p>
    <w:p w14:paraId="7E07F503" w14:textId="06490012" w:rsidR="0087526F" w:rsidRPr="009D464F" w:rsidRDefault="0087526F" w:rsidP="0087526F">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r w:rsidRPr="009D464F">
        <w:rPr>
          <w:rFonts w:ascii="Times New Roman" w:hAnsi="Times New Roman" w:cs="Times New Roman"/>
          <w:bCs/>
          <w:sz w:val="24"/>
          <w:szCs w:val="24"/>
        </w:rPr>
        <w:t xml:space="preserve">Prefeitura Municipal de Sete Lagoas, </w:t>
      </w:r>
      <w:r w:rsidR="00C72607">
        <w:rPr>
          <w:rFonts w:ascii="Times New Roman" w:hAnsi="Times New Roman" w:cs="Times New Roman"/>
          <w:bCs/>
          <w:sz w:val="24"/>
          <w:szCs w:val="24"/>
        </w:rPr>
        <w:t>5 de maio</w:t>
      </w:r>
      <w:r w:rsidRPr="009D464F">
        <w:rPr>
          <w:rFonts w:ascii="Times New Roman" w:hAnsi="Times New Roman" w:cs="Times New Roman"/>
          <w:bCs/>
          <w:sz w:val="24"/>
          <w:szCs w:val="24"/>
        </w:rPr>
        <w:t xml:space="preserve"> de 2025.</w:t>
      </w:r>
    </w:p>
    <w:p w14:paraId="124F7C3D" w14:textId="77777777" w:rsidR="0087526F" w:rsidRPr="009D464F" w:rsidRDefault="0087526F" w:rsidP="0087526F">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0E5DFC37" w14:textId="77777777" w:rsidR="0087526F" w:rsidRPr="009D464F" w:rsidRDefault="0087526F" w:rsidP="0087526F">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46A18B78" w14:textId="77777777" w:rsidR="0087526F" w:rsidRPr="009D464F" w:rsidRDefault="0087526F" w:rsidP="0087526F">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
          <w:sz w:val="24"/>
          <w:szCs w:val="24"/>
        </w:rPr>
      </w:pPr>
      <w:r w:rsidRPr="009D464F">
        <w:rPr>
          <w:rFonts w:ascii="Times New Roman" w:hAnsi="Times New Roman" w:cs="Times New Roman"/>
          <w:b/>
          <w:sz w:val="24"/>
          <w:szCs w:val="24"/>
        </w:rPr>
        <w:t>JEFERSON DOUGLAS SOARES ESTANISLAU</w:t>
      </w:r>
    </w:p>
    <w:p w14:paraId="3E704AFE" w14:textId="77777777" w:rsidR="0087526F" w:rsidRPr="009D464F" w:rsidRDefault="0087526F" w:rsidP="0087526F">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r w:rsidRPr="009D464F">
        <w:rPr>
          <w:rFonts w:ascii="Times New Roman" w:hAnsi="Times New Roman" w:cs="Times New Roman"/>
          <w:bCs/>
          <w:sz w:val="24"/>
          <w:szCs w:val="24"/>
        </w:rPr>
        <w:t>Prefeito Municipal</w:t>
      </w:r>
    </w:p>
    <w:p w14:paraId="18820866" w14:textId="5ED51590" w:rsidR="0099586D" w:rsidRPr="009D464F" w:rsidRDefault="0099586D"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2FA92DB9" w14:textId="084BE814" w:rsidR="0099586D" w:rsidRPr="009D464F" w:rsidRDefault="0099586D"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631300E2" w14:textId="6B15D217" w:rsidR="0099586D" w:rsidRPr="009D464F" w:rsidRDefault="0099586D"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4501F258" w14:textId="76BAEEEF" w:rsidR="0099586D" w:rsidRPr="009D464F" w:rsidRDefault="0099586D"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7C6D4646" w14:textId="072DEA96" w:rsidR="0099586D" w:rsidRPr="009D464F" w:rsidRDefault="0099586D"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078D396A" w14:textId="4FE03E78" w:rsidR="0099586D" w:rsidRPr="009D464F" w:rsidRDefault="0099586D"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00617992"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2051F7FA"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1DAA8A9C"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7AEE2179"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06B1FA6C"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6A706813"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6C720FC3"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452C2567"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2B9A2BB7"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69056815"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p w14:paraId="5EBA4B21" w14:textId="77777777" w:rsidR="003B2E37" w:rsidRPr="009D464F" w:rsidRDefault="003B2E37" w:rsidP="00F83C7D">
      <w:pPr>
        <w:widowControl w:val="0"/>
        <w:tabs>
          <w:tab w:val="left" w:pos="2160"/>
        </w:tabs>
        <w:suppressAutoHyphens/>
        <w:autoSpaceDE w:val="0"/>
        <w:autoSpaceDN w:val="0"/>
        <w:adjustRightInd w:val="0"/>
        <w:spacing w:line="240" w:lineRule="auto"/>
        <w:ind w:firstLine="2268"/>
        <w:jc w:val="both"/>
        <w:rPr>
          <w:rFonts w:ascii="Times New Roman" w:hAnsi="Times New Roman" w:cs="Times New Roman"/>
          <w:bCs/>
          <w:sz w:val="24"/>
          <w:szCs w:val="24"/>
        </w:rPr>
      </w:pPr>
    </w:p>
    <w:tbl>
      <w:tblPr>
        <w:tblW w:w="9280" w:type="dxa"/>
        <w:tblLayout w:type="fixed"/>
        <w:tblCellMar>
          <w:left w:w="180" w:type="dxa"/>
          <w:right w:w="180" w:type="dxa"/>
        </w:tblCellMar>
        <w:tblLook w:val="0000" w:firstRow="0" w:lastRow="0" w:firstColumn="0" w:lastColumn="0" w:noHBand="0" w:noVBand="0"/>
      </w:tblPr>
      <w:tblGrid>
        <w:gridCol w:w="1276"/>
        <w:gridCol w:w="8004"/>
      </w:tblGrid>
      <w:tr w:rsidR="0099586D" w:rsidRPr="009D464F" w14:paraId="5F247114" w14:textId="77777777" w:rsidTr="000C3BF4">
        <w:trPr>
          <w:trHeight w:val="1038"/>
        </w:trPr>
        <w:tc>
          <w:tcPr>
            <w:tcW w:w="1276" w:type="dxa"/>
            <w:vAlign w:val="center"/>
          </w:tcPr>
          <w:p w14:paraId="664D4177" w14:textId="77777777" w:rsidR="0099586D" w:rsidRPr="009D464F" w:rsidRDefault="0099586D" w:rsidP="00F83C7D">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9D464F">
              <w:rPr>
                <w:rFonts w:ascii="Times New Roman" w:hAnsi="Times New Roman" w:cs="Times New Roman"/>
                <w:b/>
                <w:noProof/>
                <w:sz w:val="24"/>
                <w:szCs w:val="24"/>
              </w:rPr>
              <w:lastRenderedPageBreak/>
              <w:drawing>
                <wp:anchor distT="0" distB="0" distL="114300" distR="114300" simplePos="0" relativeHeight="251661312" behindDoc="0" locked="0" layoutInCell="1" allowOverlap="1" wp14:anchorId="1412F638" wp14:editId="367C6FAD">
                  <wp:simplePos x="0" y="0"/>
                  <wp:positionH relativeFrom="margin">
                    <wp:posOffset>-81915</wp:posOffset>
                  </wp:positionH>
                  <wp:positionV relativeFrom="margin">
                    <wp:posOffset>-146050</wp:posOffset>
                  </wp:positionV>
                  <wp:extent cx="685800" cy="8001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D464F">
              <w:rPr>
                <w:rFonts w:ascii="Times New Roman" w:hAnsi="Times New Roman" w:cs="Times New Roman"/>
                <w:b/>
                <w:sz w:val="24"/>
                <w:szCs w:val="24"/>
              </w:rPr>
              <w:t xml:space="preserve"> </w:t>
            </w:r>
          </w:p>
        </w:tc>
        <w:tc>
          <w:tcPr>
            <w:tcW w:w="8004" w:type="dxa"/>
            <w:vAlign w:val="center"/>
          </w:tcPr>
          <w:p w14:paraId="3CD554D6" w14:textId="77777777" w:rsidR="0099586D" w:rsidRPr="009D464F" w:rsidRDefault="0099586D" w:rsidP="00F83C7D">
            <w:pPr>
              <w:widowControl w:val="0"/>
              <w:pBdr>
                <w:top w:val="nil"/>
                <w:left w:val="nil"/>
                <w:bottom w:val="nil"/>
                <w:right w:val="nil"/>
                <w:between w:val="nil"/>
              </w:pBdr>
              <w:spacing w:line="240" w:lineRule="auto"/>
              <w:ind w:left="-179"/>
              <w:jc w:val="center"/>
              <w:rPr>
                <w:rFonts w:ascii="Times New Roman" w:hAnsi="Times New Roman" w:cs="Times New Roman"/>
                <w:bCs/>
                <w:sz w:val="36"/>
                <w:szCs w:val="36"/>
              </w:rPr>
            </w:pPr>
            <w:r w:rsidRPr="009D464F">
              <w:rPr>
                <w:rFonts w:ascii="Times New Roman" w:hAnsi="Times New Roman" w:cs="Times New Roman"/>
                <w:bCs/>
                <w:sz w:val="36"/>
                <w:szCs w:val="36"/>
              </w:rPr>
              <w:t>PREFEITURA MUNICIPAL DE SETE LAGOAS</w:t>
            </w:r>
          </w:p>
        </w:tc>
      </w:tr>
    </w:tbl>
    <w:p w14:paraId="425DC428" w14:textId="2F47FBC6" w:rsidR="0099586D" w:rsidRPr="009D464F" w:rsidRDefault="0099586D" w:rsidP="00301B8E">
      <w:pPr>
        <w:widowControl w:val="0"/>
        <w:tabs>
          <w:tab w:val="left" w:pos="2160"/>
        </w:tabs>
        <w:suppressAutoHyphens/>
        <w:autoSpaceDE w:val="0"/>
        <w:autoSpaceDN w:val="0"/>
        <w:adjustRightInd w:val="0"/>
        <w:spacing w:line="240" w:lineRule="auto"/>
        <w:jc w:val="both"/>
        <w:rPr>
          <w:rFonts w:ascii="Times New Roman" w:hAnsi="Times New Roman" w:cs="Times New Roman"/>
          <w:sz w:val="24"/>
          <w:szCs w:val="24"/>
        </w:rPr>
      </w:pPr>
    </w:p>
    <w:p w14:paraId="5FF413B4" w14:textId="6966AA02" w:rsidR="0099586D" w:rsidRPr="009D464F" w:rsidRDefault="0099586D" w:rsidP="00F83C7D">
      <w:pPr>
        <w:widowControl w:val="0"/>
        <w:tabs>
          <w:tab w:val="left" w:pos="2268"/>
        </w:tabs>
        <w:suppressAutoHyphens/>
        <w:autoSpaceDE w:val="0"/>
        <w:autoSpaceDN w:val="0"/>
        <w:adjustRightInd w:val="0"/>
        <w:spacing w:line="240" w:lineRule="auto"/>
        <w:ind w:left="2268"/>
        <w:jc w:val="both"/>
        <w:rPr>
          <w:rFonts w:ascii="Times New Roman" w:hAnsi="Times New Roman" w:cs="Times New Roman"/>
          <w:b/>
          <w:bCs/>
          <w:sz w:val="24"/>
          <w:szCs w:val="24"/>
        </w:rPr>
      </w:pPr>
      <w:r w:rsidRPr="009D464F">
        <w:rPr>
          <w:rFonts w:ascii="Times New Roman" w:hAnsi="Times New Roman" w:cs="Times New Roman"/>
          <w:b/>
          <w:bCs/>
          <w:sz w:val="24"/>
          <w:szCs w:val="24"/>
        </w:rPr>
        <w:t>MENSAGEM Nº             /202</w:t>
      </w:r>
      <w:r w:rsidR="0087526F" w:rsidRPr="009D464F">
        <w:rPr>
          <w:rFonts w:ascii="Times New Roman" w:hAnsi="Times New Roman" w:cs="Times New Roman"/>
          <w:b/>
          <w:bCs/>
          <w:sz w:val="24"/>
          <w:szCs w:val="24"/>
        </w:rPr>
        <w:t>5</w:t>
      </w:r>
      <w:r w:rsidR="00F83C7D" w:rsidRPr="009D464F">
        <w:rPr>
          <w:rFonts w:ascii="Times New Roman" w:hAnsi="Times New Roman" w:cs="Times New Roman"/>
          <w:b/>
          <w:bCs/>
          <w:sz w:val="24"/>
          <w:szCs w:val="24"/>
        </w:rPr>
        <w:t>.</w:t>
      </w:r>
    </w:p>
    <w:p w14:paraId="1CBEFF1A" w14:textId="45E9FF13" w:rsidR="0099586D" w:rsidRPr="009D464F" w:rsidRDefault="0099586D" w:rsidP="00F83C7D">
      <w:pPr>
        <w:widowControl w:val="0"/>
        <w:tabs>
          <w:tab w:val="left" w:pos="2268"/>
        </w:tabs>
        <w:suppressAutoHyphens/>
        <w:autoSpaceDE w:val="0"/>
        <w:autoSpaceDN w:val="0"/>
        <w:adjustRightInd w:val="0"/>
        <w:spacing w:line="240" w:lineRule="auto"/>
        <w:ind w:left="2268"/>
        <w:jc w:val="both"/>
        <w:rPr>
          <w:rFonts w:ascii="Times New Roman" w:hAnsi="Times New Roman" w:cs="Times New Roman"/>
          <w:b/>
          <w:bCs/>
          <w:sz w:val="24"/>
          <w:szCs w:val="24"/>
        </w:rPr>
      </w:pPr>
    </w:p>
    <w:p w14:paraId="44C9FF0B" w14:textId="77777777" w:rsidR="00190BF7" w:rsidRPr="009D464F" w:rsidRDefault="00190BF7" w:rsidP="00190BF7">
      <w:pPr>
        <w:pStyle w:val="Default"/>
        <w:ind w:left="2268"/>
        <w:jc w:val="both"/>
        <w:rPr>
          <w:b/>
          <w:bCs/>
        </w:rPr>
      </w:pPr>
      <w:r w:rsidRPr="009D464F">
        <w:rPr>
          <w:b/>
          <w:bCs/>
        </w:rPr>
        <w:t>INSTITUI O PROGRAMA DE INCENTIVO À REGULARIZAÇÃO DE TRANSMISSÃO DE BENS IMÓVEIS NO MUNICÍPIO DE SETE LAGOAS.</w:t>
      </w:r>
    </w:p>
    <w:p w14:paraId="0019B046" w14:textId="77777777" w:rsidR="00071056" w:rsidRPr="009D464F" w:rsidRDefault="00071056" w:rsidP="00F83C7D">
      <w:pPr>
        <w:spacing w:line="240" w:lineRule="auto"/>
        <w:ind w:firstLine="2268"/>
        <w:jc w:val="both"/>
        <w:rPr>
          <w:rFonts w:ascii="Times New Roman" w:hAnsi="Times New Roman" w:cs="Times New Roman"/>
          <w:sz w:val="24"/>
          <w:szCs w:val="24"/>
        </w:rPr>
      </w:pPr>
    </w:p>
    <w:p w14:paraId="36503BCA" w14:textId="77777777" w:rsidR="00071056" w:rsidRPr="009D464F" w:rsidRDefault="00071056" w:rsidP="00F83C7D">
      <w:pPr>
        <w:spacing w:line="240" w:lineRule="auto"/>
        <w:ind w:right="18" w:firstLine="2268"/>
        <w:jc w:val="both"/>
        <w:rPr>
          <w:rFonts w:ascii="Times New Roman" w:hAnsi="Times New Roman" w:cs="Times New Roman"/>
          <w:sz w:val="24"/>
          <w:szCs w:val="24"/>
        </w:rPr>
      </w:pPr>
      <w:r w:rsidRPr="009D464F">
        <w:rPr>
          <w:rFonts w:ascii="Times New Roman" w:hAnsi="Times New Roman" w:cs="Times New Roman"/>
          <w:sz w:val="24"/>
          <w:szCs w:val="24"/>
        </w:rPr>
        <w:t>Senhor Presidente,</w:t>
      </w:r>
    </w:p>
    <w:p w14:paraId="3F1275A5" w14:textId="77777777" w:rsidR="00071056" w:rsidRPr="009D464F" w:rsidRDefault="00071056" w:rsidP="00F83C7D">
      <w:pPr>
        <w:spacing w:line="240" w:lineRule="auto"/>
        <w:ind w:right="18" w:firstLine="2268"/>
        <w:jc w:val="both"/>
        <w:rPr>
          <w:rFonts w:ascii="Times New Roman" w:hAnsi="Times New Roman" w:cs="Times New Roman"/>
          <w:sz w:val="24"/>
          <w:szCs w:val="24"/>
        </w:rPr>
      </w:pPr>
      <w:r w:rsidRPr="009D464F">
        <w:rPr>
          <w:rFonts w:ascii="Times New Roman" w:hAnsi="Times New Roman" w:cs="Times New Roman"/>
          <w:sz w:val="24"/>
          <w:szCs w:val="24"/>
        </w:rPr>
        <w:t>Senhores Vereadores,</w:t>
      </w:r>
    </w:p>
    <w:p w14:paraId="42381CCC" w14:textId="77777777" w:rsidR="00071056" w:rsidRPr="009D464F" w:rsidRDefault="00071056" w:rsidP="00F83C7D">
      <w:pPr>
        <w:spacing w:line="240" w:lineRule="auto"/>
        <w:ind w:firstLine="2268"/>
        <w:jc w:val="both"/>
        <w:rPr>
          <w:rFonts w:ascii="Times New Roman" w:hAnsi="Times New Roman" w:cs="Times New Roman"/>
          <w:sz w:val="24"/>
          <w:szCs w:val="24"/>
        </w:rPr>
      </w:pPr>
    </w:p>
    <w:p w14:paraId="27B29DB9" w14:textId="48FC7B0B" w:rsidR="00071056" w:rsidRPr="009D464F" w:rsidRDefault="00071056" w:rsidP="00F83C7D">
      <w:pPr>
        <w:spacing w:line="240" w:lineRule="auto"/>
        <w:ind w:firstLine="2268"/>
        <w:jc w:val="both"/>
        <w:rPr>
          <w:rFonts w:ascii="Times New Roman" w:hAnsi="Times New Roman" w:cs="Times New Roman"/>
          <w:i/>
          <w:iCs/>
          <w:sz w:val="24"/>
          <w:szCs w:val="24"/>
        </w:rPr>
      </w:pPr>
      <w:r w:rsidRPr="009D464F">
        <w:rPr>
          <w:rFonts w:ascii="Times New Roman" w:hAnsi="Times New Roman" w:cs="Times New Roman"/>
          <w:sz w:val="24"/>
          <w:szCs w:val="24"/>
        </w:rPr>
        <w:t xml:space="preserve">Tenho a honra de encaminhar à apreciação desta Douta Casa Legislativa o apenso Projeto de Lei que </w:t>
      </w:r>
      <w:r w:rsidRPr="009D464F">
        <w:rPr>
          <w:rFonts w:ascii="Times New Roman" w:hAnsi="Times New Roman" w:cs="Times New Roman"/>
          <w:i/>
          <w:iCs/>
          <w:sz w:val="24"/>
          <w:szCs w:val="24"/>
        </w:rPr>
        <w:t xml:space="preserve">“Institui </w:t>
      </w:r>
      <w:r w:rsidR="00F21FA6" w:rsidRPr="009D464F">
        <w:rPr>
          <w:rFonts w:ascii="Times New Roman" w:hAnsi="Times New Roman" w:cs="Times New Roman"/>
          <w:i/>
          <w:iCs/>
          <w:sz w:val="24"/>
          <w:szCs w:val="24"/>
        </w:rPr>
        <w:t>o Programa de incentivo à regularização de transferências de bens imóveis no Município de Sete Lagoas</w:t>
      </w:r>
      <w:r w:rsidRPr="009D464F">
        <w:rPr>
          <w:rFonts w:ascii="Times New Roman" w:hAnsi="Times New Roman" w:cs="Times New Roman"/>
          <w:i/>
          <w:iCs/>
          <w:sz w:val="24"/>
          <w:szCs w:val="24"/>
        </w:rPr>
        <w:t>”.</w:t>
      </w:r>
    </w:p>
    <w:p w14:paraId="01AE8764" w14:textId="1F8CC1ED" w:rsidR="00071056" w:rsidRPr="009D464F" w:rsidRDefault="00071056" w:rsidP="00F83C7D">
      <w:pPr>
        <w:spacing w:line="240" w:lineRule="auto"/>
        <w:ind w:firstLine="2268"/>
        <w:jc w:val="both"/>
        <w:rPr>
          <w:rFonts w:ascii="Times New Roman" w:hAnsi="Times New Roman" w:cs="Times New Roman"/>
          <w:sz w:val="24"/>
          <w:szCs w:val="24"/>
        </w:rPr>
      </w:pPr>
    </w:p>
    <w:p w14:paraId="244C5AA8" w14:textId="2FA51DB8" w:rsidR="00071056" w:rsidRPr="009D464F" w:rsidRDefault="00071056" w:rsidP="00F83C7D">
      <w:pPr>
        <w:spacing w:line="240" w:lineRule="auto"/>
        <w:ind w:firstLine="2268"/>
        <w:jc w:val="both"/>
        <w:rPr>
          <w:rFonts w:ascii="Times New Roman" w:eastAsia="Times New Roman" w:hAnsi="Times New Roman" w:cs="Times New Roman"/>
          <w:sz w:val="24"/>
          <w:szCs w:val="24"/>
          <w:shd w:val="clear" w:color="auto" w:fill="FFFFFF"/>
        </w:rPr>
      </w:pPr>
      <w:r w:rsidRPr="009D464F">
        <w:rPr>
          <w:rFonts w:ascii="Times New Roman" w:hAnsi="Times New Roman" w:cs="Times New Roman"/>
          <w:bCs/>
          <w:sz w:val="24"/>
          <w:szCs w:val="24"/>
        </w:rPr>
        <w:t xml:space="preserve">Inicialmente, ressaltamos </w:t>
      </w:r>
      <w:r w:rsidRPr="009D464F">
        <w:rPr>
          <w:rFonts w:ascii="Times New Roman" w:eastAsia="Times New Roman" w:hAnsi="Times New Roman" w:cs="Times New Roman"/>
          <w:sz w:val="24"/>
          <w:szCs w:val="24"/>
          <w:shd w:val="clear" w:color="auto" w:fill="FFFFFF"/>
        </w:rPr>
        <w:t xml:space="preserve">que o pagamento do ITBI é indispensável para a transmissão de propriedade de bens imóveis, bem como nas hipóteses elencadas no art. 206 do Código Tributário Municipal - </w:t>
      </w:r>
      <w:r w:rsidRPr="009D464F">
        <w:rPr>
          <w:rFonts w:ascii="Times New Roman" w:hAnsi="Times New Roman" w:cs="Times New Roman"/>
          <w:sz w:val="24"/>
          <w:szCs w:val="24"/>
        </w:rPr>
        <w:t>Lei Complementar nº 74, de 27 de dezembro de 2002.</w:t>
      </w:r>
    </w:p>
    <w:p w14:paraId="3BDAC835" w14:textId="203EB4E7" w:rsidR="00071056" w:rsidRPr="009D464F" w:rsidRDefault="00071056" w:rsidP="00F83C7D">
      <w:pPr>
        <w:spacing w:line="240" w:lineRule="auto"/>
        <w:ind w:firstLine="2268"/>
        <w:jc w:val="both"/>
        <w:rPr>
          <w:rFonts w:ascii="Times New Roman" w:hAnsi="Times New Roman" w:cs="Times New Roman"/>
          <w:bCs/>
          <w:sz w:val="24"/>
          <w:szCs w:val="24"/>
        </w:rPr>
      </w:pPr>
    </w:p>
    <w:p w14:paraId="2E71B57A" w14:textId="670B7803" w:rsidR="00E375AA" w:rsidRPr="009D464F" w:rsidRDefault="00071056" w:rsidP="00F83C7D">
      <w:pPr>
        <w:spacing w:line="240" w:lineRule="auto"/>
        <w:ind w:firstLine="2268"/>
        <w:jc w:val="both"/>
        <w:rPr>
          <w:rFonts w:ascii="Times New Roman" w:eastAsia="Times New Roman" w:hAnsi="Times New Roman" w:cs="Times New Roman"/>
          <w:sz w:val="24"/>
          <w:szCs w:val="24"/>
          <w:shd w:val="clear" w:color="auto" w:fill="FFFFFF"/>
        </w:rPr>
      </w:pPr>
      <w:r w:rsidRPr="009D464F">
        <w:rPr>
          <w:rFonts w:ascii="Times New Roman" w:eastAsia="Times New Roman" w:hAnsi="Times New Roman" w:cs="Times New Roman"/>
          <w:sz w:val="24"/>
          <w:szCs w:val="24"/>
          <w:shd w:val="clear" w:color="auto" w:fill="FFFFFF"/>
        </w:rPr>
        <w:t>Em virtude dos custos financeiros envolvidos nos atos onerosos translativos ou constitutivos de direitos reais sobre imóveis</w:t>
      </w:r>
      <w:r w:rsidR="00E375AA" w:rsidRPr="009D464F">
        <w:rPr>
          <w:rFonts w:ascii="Times New Roman" w:eastAsia="Times New Roman" w:hAnsi="Times New Roman" w:cs="Times New Roman"/>
          <w:sz w:val="24"/>
          <w:szCs w:val="24"/>
          <w:shd w:val="clear" w:color="auto" w:fill="FFFFFF"/>
        </w:rPr>
        <w:t>, que</w:t>
      </w:r>
      <w:r w:rsidRPr="009D464F">
        <w:rPr>
          <w:rFonts w:ascii="Times New Roman" w:eastAsia="Times New Roman" w:hAnsi="Times New Roman" w:cs="Times New Roman"/>
          <w:sz w:val="24"/>
          <w:szCs w:val="24"/>
          <w:shd w:val="clear" w:color="auto" w:fill="FFFFFF"/>
        </w:rPr>
        <w:t xml:space="preserve"> podem onerar sobremaneira o sujeito passivo, gerando inclusive um número expressivo de transações informais</w:t>
      </w:r>
      <w:r w:rsidR="00E375AA" w:rsidRPr="009D464F">
        <w:rPr>
          <w:rFonts w:ascii="Times New Roman" w:eastAsia="Times New Roman" w:hAnsi="Times New Roman" w:cs="Times New Roman"/>
          <w:sz w:val="24"/>
          <w:szCs w:val="24"/>
          <w:shd w:val="clear" w:color="auto" w:fill="FFFFFF"/>
        </w:rPr>
        <w:t xml:space="preserve">, muitos adquirentes de imóveis deixam de quitar o ITBI, mantendo como documento relativo </w:t>
      </w:r>
      <w:proofErr w:type="gramStart"/>
      <w:r w:rsidR="00E375AA" w:rsidRPr="009D464F">
        <w:rPr>
          <w:rFonts w:ascii="Times New Roman" w:eastAsia="Times New Roman" w:hAnsi="Times New Roman" w:cs="Times New Roman"/>
          <w:sz w:val="24"/>
          <w:szCs w:val="24"/>
          <w:shd w:val="clear" w:color="auto" w:fill="FFFFFF"/>
        </w:rPr>
        <w:t>a</w:t>
      </w:r>
      <w:proofErr w:type="gramEnd"/>
      <w:r w:rsidR="00E375AA" w:rsidRPr="009D464F">
        <w:rPr>
          <w:rFonts w:ascii="Times New Roman" w:eastAsia="Times New Roman" w:hAnsi="Times New Roman" w:cs="Times New Roman"/>
          <w:sz w:val="24"/>
          <w:szCs w:val="24"/>
          <w:shd w:val="clear" w:color="auto" w:fill="FFFFFF"/>
        </w:rPr>
        <w:t xml:space="preserve"> propriedade tão somente o popularmente conhecido “contrato de gaveta”.</w:t>
      </w:r>
    </w:p>
    <w:p w14:paraId="04BEC277" w14:textId="77777777" w:rsidR="00E375AA" w:rsidRPr="009D464F" w:rsidRDefault="00E375AA" w:rsidP="00F83C7D">
      <w:pPr>
        <w:spacing w:line="240" w:lineRule="auto"/>
        <w:ind w:firstLine="2268"/>
        <w:jc w:val="both"/>
        <w:rPr>
          <w:rFonts w:ascii="Times New Roman" w:eastAsia="Times New Roman" w:hAnsi="Times New Roman" w:cs="Times New Roman"/>
          <w:sz w:val="24"/>
          <w:szCs w:val="24"/>
          <w:shd w:val="clear" w:color="auto" w:fill="FFFFFF"/>
        </w:rPr>
      </w:pPr>
    </w:p>
    <w:p w14:paraId="7AA7F0CA" w14:textId="7AB78FED" w:rsidR="00071056" w:rsidRPr="009D464F" w:rsidRDefault="00E375AA" w:rsidP="00F83C7D">
      <w:pPr>
        <w:spacing w:line="240" w:lineRule="auto"/>
        <w:ind w:firstLine="2268"/>
        <w:jc w:val="both"/>
        <w:rPr>
          <w:rFonts w:ascii="Times New Roman" w:eastAsia="Times New Roman" w:hAnsi="Times New Roman" w:cs="Times New Roman"/>
          <w:sz w:val="24"/>
          <w:szCs w:val="24"/>
          <w:shd w:val="clear" w:color="auto" w:fill="FFFFFF"/>
        </w:rPr>
      </w:pPr>
      <w:r w:rsidRPr="009D464F">
        <w:rPr>
          <w:rFonts w:ascii="Times New Roman" w:eastAsia="Times New Roman" w:hAnsi="Times New Roman" w:cs="Times New Roman"/>
          <w:sz w:val="24"/>
          <w:szCs w:val="24"/>
          <w:shd w:val="clear" w:color="auto" w:fill="FFFFFF"/>
        </w:rPr>
        <w:t>Entretanto, a</w:t>
      </w:r>
      <w:r w:rsidR="00071056" w:rsidRPr="009D464F">
        <w:rPr>
          <w:rFonts w:ascii="Times New Roman" w:eastAsia="Times New Roman" w:hAnsi="Times New Roman" w:cs="Times New Roman"/>
          <w:sz w:val="24"/>
          <w:szCs w:val="24"/>
          <w:shd w:val="clear" w:color="auto" w:fill="FFFFFF"/>
        </w:rPr>
        <w:t xml:space="preserve"> ausência de pagamento do ITBI pode ocasionar insegurança jurídica, tendo em vista que a legislação civil estabelece que a escritura pública é essencial à validade dos negócios jurídicos que visem à constituição, transferência, modificação ou renúncia de direitos reais sobre imóveis (art. 106 do Código Civil de 2002)</w:t>
      </w:r>
      <w:r w:rsidRPr="009D464F">
        <w:rPr>
          <w:rFonts w:ascii="Times New Roman" w:eastAsia="Times New Roman" w:hAnsi="Times New Roman" w:cs="Times New Roman"/>
          <w:sz w:val="24"/>
          <w:szCs w:val="24"/>
          <w:shd w:val="clear" w:color="auto" w:fill="FFFFFF"/>
        </w:rPr>
        <w:t>. Nesse sentido, cabe observar</w:t>
      </w:r>
      <w:r w:rsidR="00071056" w:rsidRPr="009D464F">
        <w:rPr>
          <w:rFonts w:ascii="Times New Roman" w:eastAsia="Times New Roman" w:hAnsi="Times New Roman" w:cs="Times New Roman"/>
          <w:sz w:val="24"/>
          <w:szCs w:val="24"/>
          <w:shd w:val="clear" w:color="auto" w:fill="FFFFFF"/>
        </w:rPr>
        <w:t xml:space="preserve"> que a certidão de quitação de ITBI, expedida pela Secretaria Municipal de</w:t>
      </w:r>
      <w:r w:rsidR="00071056" w:rsidRPr="009D464F">
        <w:rPr>
          <w:rFonts w:ascii="Times New Roman" w:eastAsia="Lucida Sans Unicode" w:hAnsi="Times New Roman" w:cs="Times New Roman"/>
          <w:kern w:val="2"/>
          <w:sz w:val="24"/>
          <w:szCs w:val="24"/>
          <w:lang w:eastAsia="ar-SA"/>
        </w:rPr>
        <w:t xml:space="preserve"> </w:t>
      </w:r>
      <w:r w:rsidR="00071056" w:rsidRPr="009D464F">
        <w:rPr>
          <w:rFonts w:ascii="Times New Roman" w:eastAsia="Times New Roman" w:hAnsi="Times New Roman" w:cs="Times New Roman"/>
          <w:sz w:val="24"/>
          <w:szCs w:val="24"/>
          <w:shd w:val="clear" w:color="auto" w:fill="FFFFFF"/>
        </w:rPr>
        <w:t>Fazenda, Administração, Planejamento, Tecnologia e Comunicação Social é o documento apto a efetuar a transferência da propriedade mediante o registro do título translativo no Registro de Imóveis</w:t>
      </w:r>
      <w:r w:rsidRPr="009D464F">
        <w:rPr>
          <w:rFonts w:ascii="Times New Roman" w:eastAsia="Times New Roman" w:hAnsi="Times New Roman" w:cs="Times New Roman"/>
          <w:sz w:val="24"/>
          <w:szCs w:val="24"/>
          <w:shd w:val="clear" w:color="auto" w:fill="FFFFFF"/>
        </w:rPr>
        <w:t>.</w:t>
      </w:r>
    </w:p>
    <w:p w14:paraId="4DAA3227" w14:textId="77777777" w:rsidR="00F83C7D" w:rsidRPr="009D464F" w:rsidRDefault="00F83C7D" w:rsidP="00F83C7D">
      <w:pPr>
        <w:spacing w:line="240" w:lineRule="auto"/>
        <w:ind w:firstLine="2268"/>
        <w:jc w:val="both"/>
        <w:rPr>
          <w:rFonts w:ascii="Times New Roman" w:hAnsi="Times New Roman" w:cs="Times New Roman"/>
          <w:sz w:val="24"/>
          <w:szCs w:val="24"/>
        </w:rPr>
      </w:pPr>
    </w:p>
    <w:p w14:paraId="529B429B" w14:textId="6D5AC0FA" w:rsidR="00E375AA" w:rsidRPr="009D464F" w:rsidRDefault="00E375AA" w:rsidP="00F83C7D">
      <w:pPr>
        <w:spacing w:line="240" w:lineRule="auto"/>
        <w:ind w:firstLine="2268"/>
        <w:jc w:val="both"/>
        <w:rPr>
          <w:rFonts w:ascii="Times New Roman" w:hAnsi="Times New Roman" w:cs="Times New Roman"/>
          <w:sz w:val="24"/>
          <w:szCs w:val="24"/>
        </w:rPr>
      </w:pPr>
      <w:r w:rsidRPr="009D464F">
        <w:rPr>
          <w:rFonts w:ascii="Times New Roman" w:hAnsi="Times New Roman" w:cs="Times New Roman"/>
          <w:sz w:val="24"/>
          <w:szCs w:val="24"/>
        </w:rPr>
        <w:t xml:space="preserve">Ademais, por se tratar de relação entre terceiros, alheio a Administração Pública, sendo um típico tributo lançando por declaração, o Município não consegue aferir de forma quantitativa </w:t>
      </w:r>
      <w:r w:rsidR="00213AF7" w:rsidRPr="009D464F">
        <w:rPr>
          <w:rFonts w:ascii="Times New Roman" w:hAnsi="Times New Roman" w:cs="Times New Roman"/>
          <w:sz w:val="24"/>
          <w:szCs w:val="24"/>
        </w:rPr>
        <w:t xml:space="preserve">o montante do ITBI não recolhido aos cofres públicos por ausência de declaração. </w:t>
      </w:r>
    </w:p>
    <w:p w14:paraId="26B80B6F" w14:textId="77777777" w:rsidR="00F83C7D" w:rsidRPr="009D464F" w:rsidRDefault="00F83C7D" w:rsidP="00F83C7D">
      <w:pPr>
        <w:spacing w:line="240" w:lineRule="auto"/>
        <w:ind w:firstLine="2268"/>
        <w:jc w:val="both"/>
        <w:rPr>
          <w:rFonts w:ascii="Times New Roman" w:eastAsia="Times New Roman" w:hAnsi="Times New Roman" w:cs="Times New Roman"/>
          <w:sz w:val="24"/>
          <w:szCs w:val="24"/>
        </w:rPr>
      </w:pPr>
    </w:p>
    <w:p w14:paraId="3DAB4D4D" w14:textId="1814CE75" w:rsidR="0009711E" w:rsidRPr="009D464F" w:rsidRDefault="00213AF7" w:rsidP="00F83C7D">
      <w:pPr>
        <w:spacing w:line="240" w:lineRule="auto"/>
        <w:ind w:firstLine="2268"/>
        <w:jc w:val="both"/>
        <w:rPr>
          <w:rFonts w:ascii="Times New Roman" w:eastAsia="Times New Roman" w:hAnsi="Times New Roman" w:cs="Times New Roman"/>
          <w:sz w:val="24"/>
          <w:szCs w:val="24"/>
        </w:rPr>
      </w:pPr>
      <w:r w:rsidRPr="009D464F">
        <w:rPr>
          <w:rFonts w:ascii="Times New Roman" w:eastAsia="Times New Roman" w:hAnsi="Times New Roman" w:cs="Times New Roman"/>
          <w:sz w:val="24"/>
          <w:szCs w:val="24"/>
        </w:rPr>
        <w:t>Portanto, o que se almeja com a presente propositura é oportunizar ao contribuinte que adquiriu imóvel em período anterior a 31 de dezembro de 20</w:t>
      </w:r>
      <w:r w:rsidR="007F4562" w:rsidRPr="009D464F">
        <w:rPr>
          <w:rFonts w:ascii="Times New Roman" w:eastAsia="Times New Roman" w:hAnsi="Times New Roman" w:cs="Times New Roman"/>
          <w:sz w:val="24"/>
          <w:szCs w:val="24"/>
        </w:rPr>
        <w:t>18</w:t>
      </w:r>
      <w:r w:rsidRPr="009D464F">
        <w:rPr>
          <w:rFonts w:ascii="Times New Roman" w:eastAsia="Times New Roman" w:hAnsi="Times New Roman" w:cs="Times New Roman"/>
          <w:sz w:val="24"/>
          <w:szCs w:val="24"/>
        </w:rPr>
        <w:t xml:space="preserve"> a possibilidade de regularizar sua propriedade mediante desconto no pagamento do ITBI, trazendo incremento financeiro ao erário público. </w:t>
      </w:r>
    </w:p>
    <w:p w14:paraId="3B001A35" w14:textId="0DFA3F7E" w:rsidR="002F72D4" w:rsidRPr="009D464F" w:rsidRDefault="002F72D4" w:rsidP="00F83C7D">
      <w:pPr>
        <w:spacing w:line="240" w:lineRule="auto"/>
        <w:ind w:firstLine="2268"/>
        <w:jc w:val="both"/>
        <w:rPr>
          <w:rFonts w:ascii="Times New Roman" w:eastAsia="Times New Roman" w:hAnsi="Times New Roman" w:cs="Times New Roman"/>
          <w:sz w:val="24"/>
          <w:szCs w:val="24"/>
        </w:rPr>
      </w:pPr>
    </w:p>
    <w:p w14:paraId="32D15249" w14:textId="4D8A53C0" w:rsidR="002F72D4" w:rsidRPr="009D464F" w:rsidRDefault="002F72D4" w:rsidP="002F72D4">
      <w:pPr>
        <w:spacing w:line="240" w:lineRule="auto"/>
        <w:ind w:firstLine="2268"/>
        <w:jc w:val="both"/>
        <w:rPr>
          <w:rFonts w:ascii="Times New Roman" w:eastAsia="Times New Roman" w:hAnsi="Times New Roman" w:cs="Times New Roman"/>
          <w:sz w:val="24"/>
          <w:szCs w:val="24"/>
        </w:rPr>
      </w:pPr>
      <w:r w:rsidRPr="009D464F">
        <w:rPr>
          <w:rFonts w:ascii="Times New Roman" w:eastAsia="Times New Roman" w:hAnsi="Times New Roman" w:cs="Times New Roman"/>
          <w:sz w:val="24"/>
          <w:szCs w:val="24"/>
        </w:rPr>
        <w:lastRenderedPageBreak/>
        <w:t>Ademais, outro aspecto relevante da proposta é a inclusão de benefícios fiscais adicionais, como a possibilidade de quitação facilitada de débitos de IPTU e da Taxa de Coleta de Resíduos Sólidos Urbanos para os imóveis regularizados no âmbito deste programa. Essa medida estimula ainda mais a adesão ao programa, permitindo que os contribuintes sanem suas pendências fiscais de forma mais acessível.</w:t>
      </w:r>
    </w:p>
    <w:p w14:paraId="234E8DD8" w14:textId="77777777" w:rsidR="002F72D4" w:rsidRPr="009D464F" w:rsidRDefault="002F72D4" w:rsidP="002F72D4">
      <w:pPr>
        <w:spacing w:line="240" w:lineRule="auto"/>
        <w:ind w:firstLine="2268"/>
        <w:jc w:val="both"/>
        <w:rPr>
          <w:rFonts w:ascii="Times New Roman" w:eastAsia="Times New Roman" w:hAnsi="Times New Roman" w:cs="Times New Roman"/>
          <w:sz w:val="24"/>
          <w:szCs w:val="24"/>
        </w:rPr>
      </w:pPr>
    </w:p>
    <w:p w14:paraId="17A44A59" w14:textId="77777777" w:rsidR="002F72D4" w:rsidRPr="009D464F" w:rsidRDefault="002F72D4" w:rsidP="002F72D4">
      <w:pPr>
        <w:spacing w:line="240" w:lineRule="auto"/>
        <w:ind w:firstLine="2268"/>
        <w:jc w:val="both"/>
        <w:rPr>
          <w:rFonts w:ascii="Times New Roman" w:eastAsia="Times New Roman" w:hAnsi="Times New Roman" w:cs="Times New Roman"/>
          <w:sz w:val="24"/>
          <w:szCs w:val="24"/>
        </w:rPr>
      </w:pPr>
      <w:r w:rsidRPr="009D464F">
        <w:rPr>
          <w:rFonts w:ascii="Times New Roman" w:eastAsia="Times New Roman" w:hAnsi="Times New Roman" w:cs="Times New Roman"/>
          <w:sz w:val="24"/>
          <w:szCs w:val="24"/>
        </w:rPr>
        <w:t>Adicionalmente, o programa estabelece um período de adesão bem definido, garantindo previsibilidade tanto para os contribuintes quanto para a administração pública, além de evitar distorções que possam comprometer a eficiência do incentivo proposto.</w:t>
      </w:r>
    </w:p>
    <w:p w14:paraId="14C4F8A0" w14:textId="77777777" w:rsidR="002F72D4" w:rsidRPr="009D464F" w:rsidRDefault="002F72D4" w:rsidP="002F72D4">
      <w:pPr>
        <w:spacing w:line="240" w:lineRule="auto"/>
        <w:ind w:firstLine="2268"/>
        <w:jc w:val="both"/>
        <w:rPr>
          <w:rFonts w:ascii="Times New Roman" w:eastAsia="Times New Roman" w:hAnsi="Times New Roman" w:cs="Times New Roman"/>
          <w:sz w:val="24"/>
          <w:szCs w:val="24"/>
        </w:rPr>
      </w:pPr>
    </w:p>
    <w:p w14:paraId="170B485C" w14:textId="794E62BF" w:rsidR="00213AF7" w:rsidRPr="009D464F" w:rsidRDefault="002F72D4" w:rsidP="002F72D4">
      <w:pPr>
        <w:spacing w:line="240" w:lineRule="auto"/>
        <w:ind w:firstLine="2268"/>
        <w:jc w:val="both"/>
        <w:rPr>
          <w:rFonts w:ascii="Times New Roman" w:eastAsia="Times New Roman" w:hAnsi="Times New Roman" w:cs="Times New Roman"/>
          <w:sz w:val="24"/>
          <w:szCs w:val="24"/>
        </w:rPr>
      </w:pPr>
      <w:r w:rsidRPr="009D464F">
        <w:rPr>
          <w:rFonts w:ascii="Times New Roman" w:eastAsia="Times New Roman" w:hAnsi="Times New Roman" w:cs="Times New Roman"/>
          <w:sz w:val="24"/>
          <w:szCs w:val="24"/>
        </w:rPr>
        <w:t xml:space="preserve">Diante da relevância e dos benefícios deste programa para a regularização imobiliária, a arrecadação municipal e a segurança jurídica dos cidadãos, espero que a presente proposição seja apreciada e aprovada pelos nobres edis, </w:t>
      </w:r>
      <w:r w:rsidR="00213AF7" w:rsidRPr="009D464F">
        <w:rPr>
          <w:rFonts w:ascii="Times New Roman" w:eastAsia="Times New Roman" w:hAnsi="Times New Roman" w:cs="Times New Roman"/>
          <w:sz w:val="24"/>
          <w:szCs w:val="24"/>
        </w:rPr>
        <w:t xml:space="preserve">e ao ensejo manifesto votos de estima e consideração. </w:t>
      </w:r>
    </w:p>
    <w:p w14:paraId="62CC7B80" w14:textId="77777777" w:rsidR="002F72D4" w:rsidRPr="009D464F" w:rsidRDefault="002F72D4" w:rsidP="0087526F">
      <w:pPr>
        <w:spacing w:line="240" w:lineRule="auto"/>
        <w:ind w:firstLine="2268"/>
        <w:jc w:val="both"/>
        <w:rPr>
          <w:rFonts w:ascii="Times New Roman" w:hAnsi="Times New Roman" w:cs="Times New Roman"/>
          <w:sz w:val="24"/>
          <w:szCs w:val="24"/>
        </w:rPr>
      </w:pPr>
    </w:p>
    <w:p w14:paraId="6B1BCFD8" w14:textId="6BDC878C" w:rsidR="0087526F" w:rsidRPr="009D464F" w:rsidRDefault="0087526F" w:rsidP="0087526F">
      <w:pPr>
        <w:spacing w:line="240" w:lineRule="auto"/>
        <w:ind w:firstLine="2268"/>
        <w:jc w:val="both"/>
        <w:rPr>
          <w:rFonts w:ascii="Times New Roman" w:hAnsi="Times New Roman" w:cs="Times New Roman"/>
          <w:sz w:val="24"/>
          <w:szCs w:val="24"/>
        </w:rPr>
      </w:pPr>
      <w:r w:rsidRPr="009D464F">
        <w:rPr>
          <w:rFonts w:ascii="Times New Roman" w:hAnsi="Times New Roman" w:cs="Times New Roman"/>
          <w:sz w:val="24"/>
          <w:szCs w:val="24"/>
        </w:rPr>
        <w:t xml:space="preserve">Prefeitura Municipal de Sete Lagoas, </w:t>
      </w:r>
      <w:r w:rsidR="00C72607">
        <w:rPr>
          <w:rFonts w:ascii="Times New Roman" w:hAnsi="Times New Roman" w:cs="Times New Roman"/>
          <w:sz w:val="24"/>
          <w:szCs w:val="24"/>
        </w:rPr>
        <w:t>5 de maio</w:t>
      </w:r>
      <w:r w:rsidRPr="009D464F">
        <w:rPr>
          <w:rFonts w:ascii="Times New Roman" w:hAnsi="Times New Roman" w:cs="Times New Roman"/>
          <w:sz w:val="24"/>
          <w:szCs w:val="24"/>
        </w:rPr>
        <w:t xml:space="preserve"> de 2025.</w:t>
      </w:r>
    </w:p>
    <w:p w14:paraId="25017AE5" w14:textId="77777777" w:rsidR="0087526F" w:rsidRPr="009D464F" w:rsidRDefault="0087526F" w:rsidP="0087526F">
      <w:pPr>
        <w:spacing w:line="240" w:lineRule="auto"/>
        <w:ind w:firstLine="2268"/>
        <w:jc w:val="both"/>
        <w:rPr>
          <w:rFonts w:ascii="Times New Roman" w:hAnsi="Times New Roman" w:cs="Times New Roman"/>
          <w:sz w:val="24"/>
          <w:szCs w:val="24"/>
        </w:rPr>
      </w:pPr>
    </w:p>
    <w:p w14:paraId="44D46C8C" w14:textId="77777777" w:rsidR="0087526F" w:rsidRPr="009D464F" w:rsidRDefault="0087526F" w:rsidP="0087526F">
      <w:pPr>
        <w:spacing w:line="240" w:lineRule="auto"/>
        <w:ind w:firstLine="2268"/>
        <w:jc w:val="both"/>
        <w:rPr>
          <w:rFonts w:ascii="Times New Roman" w:hAnsi="Times New Roman" w:cs="Times New Roman"/>
          <w:sz w:val="24"/>
          <w:szCs w:val="24"/>
        </w:rPr>
      </w:pPr>
    </w:p>
    <w:p w14:paraId="24550A08" w14:textId="77777777" w:rsidR="0087526F" w:rsidRPr="009D464F" w:rsidRDefault="0087526F" w:rsidP="0087526F">
      <w:pPr>
        <w:spacing w:line="240" w:lineRule="auto"/>
        <w:ind w:firstLine="2268"/>
        <w:jc w:val="both"/>
        <w:rPr>
          <w:rFonts w:ascii="Times New Roman" w:hAnsi="Times New Roman" w:cs="Times New Roman"/>
          <w:b/>
          <w:bCs/>
          <w:sz w:val="24"/>
          <w:szCs w:val="24"/>
        </w:rPr>
      </w:pPr>
      <w:r w:rsidRPr="009D464F">
        <w:rPr>
          <w:rFonts w:ascii="Times New Roman" w:hAnsi="Times New Roman" w:cs="Times New Roman"/>
          <w:b/>
          <w:bCs/>
          <w:sz w:val="24"/>
          <w:szCs w:val="24"/>
        </w:rPr>
        <w:t>JEFERSON DOUGLAS SOARES ESTANISLAU</w:t>
      </w:r>
    </w:p>
    <w:p w14:paraId="6D6EA035" w14:textId="77777777" w:rsidR="0087526F" w:rsidRPr="009D464F" w:rsidRDefault="0087526F" w:rsidP="0087526F">
      <w:pPr>
        <w:spacing w:line="240" w:lineRule="auto"/>
        <w:ind w:firstLine="2268"/>
        <w:jc w:val="both"/>
        <w:rPr>
          <w:rFonts w:ascii="Times New Roman" w:hAnsi="Times New Roman" w:cs="Times New Roman"/>
          <w:sz w:val="24"/>
          <w:szCs w:val="24"/>
        </w:rPr>
      </w:pPr>
      <w:r w:rsidRPr="009D464F">
        <w:rPr>
          <w:rFonts w:ascii="Times New Roman" w:hAnsi="Times New Roman" w:cs="Times New Roman"/>
          <w:sz w:val="24"/>
          <w:szCs w:val="24"/>
        </w:rPr>
        <w:t>Prefeito Municipal</w:t>
      </w:r>
    </w:p>
    <w:p w14:paraId="076DBFAA" w14:textId="2294EE6A" w:rsidR="0099586D" w:rsidRPr="009D464F" w:rsidRDefault="0099586D" w:rsidP="00F83C7D">
      <w:pPr>
        <w:spacing w:line="240" w:lineRule="auto"/>
        <w:ind w:firstLine="2268"/>
        <w:jc w:val="both"/>
        <w:rPr>
          <w:rFonts w:ascii="Times New Roman" w:hAnsi="Times New Roman" w:cs="Times New Roman"/>
          <w:sz w:val="24"/>
          <w:szCs w:val="24"/>
        </w:rPr>
      </w:pPr>
    </w:p>
    <w:sectPr w:rsidR="0099586D" w:rsidRPr="009D464F" w:rsidSect="00F83C7D">
      <w:footerReference w:type="default" r:id="rId9"/>
      <w:pgSz w:w="12240" w:h="15840"/>
      <w:pgMar w:top="1134" w:right="1701" w:bottom="1134" w:left="1701"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B5BB" w14:textId="77777777" w:rsidR="00FA5537" w:rsidRDefault="00FA5537" w:rsidP="00DB3C4A">
      <w:pPr>
        <w:spacing w:line="240" w:lineRule="auto"/>
      </w:pPr>
      <w:r>
        <w:separator/>
      </w:r>
    </w:p>
  </w:endnote>
  <w:endnote w:type="continuationSeparator" w:id="0">
    <w:p w14:paraId="6104819C" w14:textId="77777777" w:rsidR="00FA5537" w:rsidRDefault="00FA5537" w:rsidP="00DB3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042952"/>
      <w:docPartObj>
        <w:docPartGallery w:val="Page Numbers (Bottom of Page)"/>
        <w:docPartUnique/>
      </w:docPartObj>
    </w:sdtPr>
    <w:sdtEndPr>
      <w:rPr>
        <w:rFonts w:ascii="Times New Roman" w:hAnsi="Times New Roman" w:cs="Times New Roman"/>
        <w:sz w:val="24"/>
        <w:szCs w:val="24"/>
      </w:rPr>
    </w:sdtEndPr>
    <w:sdtContent>
      <w:p w14:paraId="70159D6F" w14:textId="345D5F54" w:rsidR="00DB3C4A" w:rsidRPr="00DB3C4A" w:rsidRDefault="00DB3C4A" w:rsidP="000350E5">
        <w:pPr>
          <w:pStyle w:val="Rodap"/>
          <w:jc w:val="right"/>
          <w:rPr>
            <w:rFonts w:ascii="Times New Roman" w:hAnsi="Times New Roman" w:cs="Times New Roman"/>
            <w:sz w:val="24"/>
            <w:szCs w:val="24"/>
          </w:rPr>
        </w:pPr>
        <w:r w:rsidRPr="00DB3C4A">
          <w:rPr>
            <w:rFonts w:ascii="Times New Roman" w:hAnsi="Times New Roman" w:cs="Times New Roman"/>
            <w:sz w:val="24"/>
            <w:szCs w:val="24"/>
          </w:rPr>
          <w:fldChar w:fldCharType="begin"/>
        </w:r>
        <w:r w:rsidRPr="00DB3C4A">
          <w:rPr>
            <w:rFonts w:ascii="Times New Roman" w:hAnsi="Times New Roman" w:cs="Times New Roman"/>
            <w:sz w:val="24"/>
            <w:szCs w:val="24"/>
          </w:rPr>
          <w:instrText>PAGE   \* MERGEFORMAT</w:instrText>
        </w:r>
        <w:r w:rsidRPr="00DB3C4A">
          <w:rPr>
            <w:rFonts w:ascii="Times New Roman" w:hAnsi="Times New Roman" w:cs="Times New Roman"/>
            <w:sz w:val="24"/>
            <w:szCs w:val="24"/>
          </w:rPr>
          <w:fldChar w:fldCharType="separate"/>
        </w:r>
        <w:r w:rsidR="006867BC">
          <w:rPr>
            <w:rFonts w:ascii="Times New Roman" w:hAnsi="Times New Roman" w:cs="Times New Roman"/>
            <w:noProof/>
            <w:sz w:val="24"/>
            <w:szCs w:val="24"/>
          </w:rPr>
          <w:t>4</w:t>
        </w:r>
        <w:r w:rsidRPr="00DB3C4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1F11" w14:textId="77777777" w:rsidR="00FA5537" w:rsidRDefault="00FA5537" w:rsidP="00DB3C4A">
      <w:pPr>
        <w:spacing w:line="240" w:lineRule="auto"/>
      </w:pPr>
      <w:r>
        <w:separator/>
      </w:r>
    </w:p>
  </w:footnote>
  <w:footnote w:type="continuationSeparator" w:id="0">
    <w:p w14:paraId="7F16C7D8" w14:textId="77777777" w:rsidR="00FA5537" w:rsidRDefault="00FA5537" w:rsidP="00DB3C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B0F"/>
    <w:multiLevelType w:val="hybridMultilevel"/>
    <w:tmpl w:val="48E25930"/>
    <w:lvl w:ilvl="0" w:tplc="16F64F6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1C2E543A"/>
    <w:multiLevelType w:val="singleLevel"/>
    <w:tmpl w:val="19927FE2"/>
    <w:lvl w:ilvl="0">
      <w:start w:val="5"/>
      <w:numFmt w:val="decimal"/>
      <w:lvlText w:val="%1)"/>
      <w:lvlJc w:val="left"/>
      <w:pPr>
        <w:tabs>
          <w:tab w:val="num" w:pos="360"/>
        </w:tabs>
        <w:ind w:left="360" w:hanging="360"/>
      </w:pPr>
      <w:rPr>
        <w:b/>
        <w:bCs w:val="0"/>
      </w:rPr>
    </w:lvl>
  </w:abstractNum>
  <w:abstractNum w:abstractNumId="2" w15:restartNumberingAfterBreak="0">
    <w:nsid w:val="2ED72D99"/>
    <w:multiLevelType w:val="hybridMultilevel"/>
    <w:tmpl w:val="BC3CCC7A"/>
    <w:lvl w:ilvl="0" w:tplc="C148A252">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3" w15:restartNumberingAfterBreak="0">
    <w:nsid w:val="36092FD7"/>
    <w:multiLevelType w:val="hybridMultilevel"/>
    <w:tmpl w:val="EC9CB8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184FF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56E5960"/>
    <w:multiLevelType w:val="multilevel"/>
    <w:tmpl w:val="17EE6904"/>
    <w:lvl w:ilvl="0">
      <w:start w:val="8"/>
      <w:numFmt w:val="decimal"/>
      <w:lvlText w:val="%1."/>
      <w:lvlJc w:val="left"/>
      <w:pPr>
        <w:ind w:left="405" w:hanging="405"/>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4"/>
  </w:num>
  <w:num w:numId="3">
    <w:abstractNumId w:val="1"/>
    <w:lvlOverride w:ilvl="0">
      <w:startOverride w:val="5"/>
    </w:lvlOverride>
  </w:num>
  <w:num w:numId="4">
    <w:abstractNumId w:val="5"/>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16"/>
    <w:rsid w:val="000005A3"/>
    <w:rsid w:val="000114D0"/>
    <w:rsid w:val="00011BE6"/>
    <w:rsid w:val="00014D4C"/>
    <w:rsid w:val="000322B6"/>
    <w:rsid w:val="000350E5"/>
    <w:rsid w:val="00043189"/>
    <w:rsid w:val="000477E3"/>
    <w:rsid w:val="00065302"/>
    <w:rsid w:val="00070F03"/>
    <w:rsid w:val="00071056"/>
    <w:rsid w:val="00072E08"/>
    <w:rsid w:val="000740BA"/>
    <w:rsid w:val="00074639"/>
    <w:rsid w:val="00075531"/>
    <w:rsid w:val="00086EE4"/>
    <w:rsid w:val="000872DC"/>
    <w:rsid w:val="00096572"/>
    <w:rsid w:val="00096CCF"/>
    <w:rsid w:val="0009711E"/>
    <w:rsid w:val="000A00B1"/>
    <w:rsid w:val="000A4B13"/>
    <w:rsid w:val="000A6AC4"/>
    <w:rsid w:val="000B62E1"/>
    <w:rsid w:val="000C796B"/>
    <w:rsid w:val="000D08DD"/>
    <w:rsid w:val="000D0FE8"/>
    <w:rsid w:val="000E1AA1"/>
    <w:rsid w:val="000E7486"/>
    <w:rsid w:val="000F0453"/>
    <w:rsid w:val="000F0A15"/>
    <w:rsid w:val="001001B6"/>
    <w:rsid w:val="0010186A"/>
    <w:rsid w:val="00104A21"/>
    <w:rsid w:val="00106307"/>
    <w:rsid w:val="00107B4E"/>
    <w:rsid w:val="00107CC4"/>
    <w:rsid w:val="0011441D"/>
    <w:rsid w:val="00115D65"/>
    <w:rsid w:val="001213ED"/>
    <w:rsid w:val="00130688"/>
    <w:rsid w:val="001356C2"/>
    <w:rsid w:val="00135C51"/>
    <w:rsid w:val="00141CD0"/>
    <w:rsid w:val="001455D2"/>
    <w:rsid w:val="00150B24"/>
    <w:rsid w:val="00153335"/>
    <w:rsid w:val="00154C13"/>
    <w:rsid w:val="001578CF"/>
    <w:rsid w:val="00157A72"/>
    <w:rsid w:val="00175A82"/>
    <w:rsid w:val="00187AD3"/>
    <w:rsid w:val="00190BF7"/>
    <w:rsid w:val="001A5EF3"/>
    <w:rsid w:val="001A6ACE"/>
    <w:rsid w:val="001A7C4A"/>
    <w:rsid w:val="001A7EDF"/>
    <w:rsid w:val="001B131C"/>
    <w:rsid w:val="001B1BB8"/>
    <w:rsid w:val="001B231F"/>
    <w:rsid w:val="001B3E27"/>
    <w:rsid w:val="001C7219"/>
    <w:rsid w:val="001C7AA9"/>
    <w:rsid w:val="001D21F2"/>
    <w:rsid w:val="001E0D07"/>
    <w:rsid w:val="001F5F35"/>
    <w:rsid w:val="00204879"/>
    <w:rsid w:val="002079C4"/>
    <w:rsid w:val="00213AF7"/>
    <w:rsid w:val="00222B90"/>
    <w:rsid w:val="002247DE"/>
    <w:rsid w:val="00225C2C"/>
    <w:rsid w:val="002343C7"/>
    <w:rsid w:val="00236A90"/>
    <w:rsid w:val="00237B6F"/>
    <w:rsid w:val="002405E0"/>
    <w:rsid w:val="00244FD7"/>
    <w:rsid w:val="00245230"/>
    <w:rsid w:val="00252BC0"/>
    <w:rsid w:val="002536EA"/>
    <w:rsid w:val="0027253F"/>
    <w:rsid w:val="00275DBC"/>
    <w:rsid w:val="0028239F"/>
    <w:rsid w:val="002920F1"/>
    <w:rsid w:val="00295507"/>
    <w:rsid w:val="002963AF"/>
    <w:rsid w:val="00296C19"/>
    <w:rsid w:val="002A6721"/>
    <w:rsid w:val="002B51CB"/>
    <w:rsid w:val="002B645D"/>
    <w:rsid w:val="002C1DCD"/>
    <w:rsid w:val="002C271C"/>
    <w:rsid w:val="002C3E6D"/>
    <w:rsid w:val="002C7093"/>
    <w:rsid w:val="002E1EDE"/>
    <w:rsid w:val="002E3B09"/>
    <w:rsid w:val="002E6154"/>
    <w:rsid w:val="002E66AF"/>
    <w:rsid w:val="002F72D4"/>
    <w:rsid w:val="00301B8E"/>
    <w:rsid w:val="00310FE5"/>
    <w:rsid w:val="00311AB8"/>
    <w:rsid w:val="003171FD"/>
    <w:rsid w:val="00326473"/>
    <w:rsid w:val="00326B1E"/>
    <w:rsid w:val="00332229"/>
    <w:rsid w:val="00335C20"/>
    <w:rsid w:val="00344F8D"/>
    <w:rsid w:val="003474A6"/>
    <w:rsid w:val="003479B9"/>
    <w:rsid w:val="00352887"/>
    <w:rsid w:val="00355545"/>
    <w:rsid w:val="003622FE"/>
    <w:rsid w:val="0036345B"/>
    <w:rsid w:val="00372287"/>
    <w:rsid w:val="003776DB"/>
    <w:rsid w:val="00390E1E"/>
    <w:rsid w:val="003A161F"/>
    <w:rsid w:val="003A1FB0"/>
    <w:rsid w:val="003B1A8B"/>
    <w:rsid w:val="003B2E37"/>
    <w:rsid w:val="003B718C"/>
    <w:rsid w:val="003D2068"/>
    <w:rsid w:val="003E5B4E"/>
    <w:rsid w:val="003F5AC9"/>
    <w:rsid w:val="003F7A7E"/>
    <w:rsid w:val="004003E6"/>
    <w:rsid w:val="00404A01"/>
    <w:rsid w:val="00404A24"/>
    <w:rsid w:val="0040587B"/>
    <w:rsid w:val="00406F0D"/>
    <w:rsid w:val="00432EF6"/>
    <w:rsid w:val="004330AD"/>
    <w:rsid w:val="0043432C"/>
    <w:rsid w:val="00447E93"/>
    <w:rsid w:val="00451BCB"/>
    <w:rsid w:val="004531A1"/>
    <w:rsid w:val="00456F15"/>
    <w:rsid w:val="004641C1"/>
    <w:rsid w:val="00464C5E"/>
    <w:rsid w:val="004658C6"/>
    <w:rsid w:val="00471460"/>
    <w:rsid w:val="004722BB"/>
    <w:rsid w:val="004731C0"/>
    <w:rsid w:val="004773A7"/>
    <w:rsid w:val="00485C9A"/>
    <w:rsid w:val="00487226"/>
    <w:rsid w:val="00493BD6"/>
    <w:rsid w:val="00495F40"/>
    <w:rsid w:val="004A2A56"/>
    <w:rsid w:val="004A2F64"/>
    <w:rsid w:val="004A49F3"/>
    <w:rsid w:val="004B2A29"/>
    <w:rsid w:val="004B3C5B"/>
    <w:rsid w:val="004B5FBB"/>
    <w:rsid w:val="004B7A06"/>
    <w:rsid w:val="004C098D"/>
    <w:rsid w:val="004C1382"/>
    <w:rsid w:val="004C43DD"/>
    <w:rsid w:val="004D6A21"/>
    <w:rsid w:val="004D7967"/>
    <w:rsid w:val="004E2165"/>
    <w:rsid w:val="004E2AFD"/>
    <w:rsid w:val="004E3501"/>
    <w:rsid w:val="004E7B27"/>
    <w:rsid w:val="004F6BFD"/>
    <w:rsid w:val="005009C9"/>
    <w:rsid w:val="00512A1D"/>
    <w:rsid w:val="0053179D"/>
    <w:rsid w:val="005376CC"/>
    <w:rsid w:val="00542D4F"/>
    <w:rsid w:val="00554CAD"/>
    <w:rsid w:val="0056206E"/>
    <w:rsid w:val="00573B70"/>
    <w:rsid w:val="00574F23"/>
    <w:rsid w:val="00575917"/>
    <w:rsid w:val="005777BD"/>
    <w:rsid w:val="00592E17"/>
    <w:rsid w:val="0059521C"/>
    <w:rsid w:val="00596324"/>
    <w:rsid w:val="0059683B"/>
    <w:rsid w:val="005A17C4"/>
    <w:rsid w:val="005A4CF3"/>
    <w:rsid w:val="005B11EB"/>
    <w:rsid w:val="005B6197"/>
    <w:rsid w:val="005C15B1"/>
    <w:rsid w:val="005C2357"/>
    <w:rsid w:val="005D0199"/>
    <w:rsid w:val="005D546C"/>
    <w:rsid w:val="005D6178"/>
    <w:rsid w:val="005D65A0"/>
    <w:rsid w:val="005D6F8B"/>
    <w:rsid w:val="005E139C"/>
    <w:rsid w:val="005E2BFB"/>
    <w:rsid w:val="005F0894"/>
    <w:rsid w:val="005F15BD"/>
    <w:rsid w:val="005F3DB6"/>
    <w:rsid w:val="005F4306"/>
    <w:rsid w:val="005F61D9"/>
    <w:rsid w:val="00603318"/>
    <w:rsid w:val="00604DE2"/>
    <w:rsid w:val="0063363F"/>
    <w:rsid w:val="00652711"/>
    <w:rsid w:val="006530D4"/>
    <w:rsid w:val="00653A92"/>
    <w:rsid w:val="006642F5"/>
    <w:rsid w:val="0066623D"/>
    <w:rsid w:val="0067357C"/>
    <w:rsid w:val="00673D3A"/>
    <w:rsid w:val="0067480A"/>
    <w:rsid w:val="0068617B"/>
    <w:rsid w:val="00686585"/>
    <w:rsid w:val="006867BC"/>
    <w:rsid w:val="00687344"/>
    <w:rsid w:val="006909FE"/>
    <w:rsid w:val="0069252D"/>
    <w:rsid w:val="00695F11"/>
    <w:rsid w:val="006A5261"/>
    <w:rsid w:val="006B2253"/>
    <w:rsid w:val="006C02D5"/>
    <w:rsid w:val="006D44BD"/>
    <w:rsid w:val="006D7D60"/>
    <w:rsid w:val="006E1BC2"/>
    <w:rsid w:val="006E1D1D"/>
    <w:rsid w:val="006F37DC"/>
    <w:rsid w:val="007031D5"/>
    <w:rsid w:val="00705921"/>
    <w:rsid w:val="00714D89"/>
    <w:rsid w:val="0072222A"/>
    <w:rsid w:val="007316E1"/>
    <w:rsid w:val="007317D3"/>
    <w:rsid w:val="007326F9"/>
    <w:rsid w:val="00734AB5"/>
    <w:rsid w:val="00752113"/>
    <w:rsid w:val="0076376D"/>
    <w:rsid w:val="00766053"/>
    <w:rsid w:val="007661FD"/>
    <w:rsid w:val="00770FE6"/>
    <w:rsid w:val="007865B1"/>
    <w:rsid w:val="00795586"/>
    <w:rsid w:val="007A6DD9"/>
    <w:rsid w:val="007B2D0D"/>
    <w:rsid w:val="007B463A"/>
    <w:rsid w:val="007C40D4"/>
    <w:rsid w:val="007C4EF2"/>
    <w:rsid w:val="007D3413"/>
    <w:rsid w:val="007D6B89"/>
    <w:rsid w:val="007E33EB"/>
    <w:rsid w:val="007E42FB"/>
    <w:rsid w:val="007E6541"/>
    <w:rsid w:val="007F4164"/>
    <w:rsid w:val="007F4562"/>
    <w:rsid w:val="007F5BFE"/>
    <w:rsid w:val="00803F65"/>
    <w:rsid w:val="00804CD5"/>
    <w:rsid w:val="008220A6"/>
    <w:rsid w:val="0082490B"/>
    <w:rsid w:val="008271F6"/>
    <w:rsid w:val="0083214E"/>
    <w:rsid w:val="008378D8"/>
    <w:rsid w:val="00851043"/>
    <w:rsid w:val="0085277D"/>
    <w:rsid w:val="00853F10"/>
    <w:rsid w:val="0087526F"/>
    <w:rsid w:val="00877079"/>
    <w:rsid w:val="00880E1C"/>
    <w:rsid w:val="008845FE"/>
    <w:rsid w:val="0088575F"/>
    <w:rsid w:val="008928E7"/>
    <w:rsid w:val="00894806"/>
    <w:rsid w:val="008A1A4F"/>
    <w:rsid w:val="008A7E50"/>
    <w:rsid w:val="008B12E5"/>
    <w:rsid w:val="008B3EF4"/>
    <w:rsid w:val="008B74E3"/>
    <w:rsid w:val="008D04F0"/>
    <w:rsid w:val="008D1C2A"/>
    <w:rsid w:val="008D76F2"/>
    <w:rsid w:val="008E0324"/>
    <w:rsid w:val="008E6253"/>
    <w:rsid w:val="008F3038"/>
    <w:rsid w:val="008F4547"/>
    <w:rsid w:val="008F490A"/>
    <w:rsid w:val="009026BC"/>
    <w:rsid w:val="00906BAD"/>
    <w:rsid w:val="009216B2"/>
    <w:rsid w:val="0092188F"/>
    <w:rsid w:val="00922725"/>
    <w:rsid w:val="009341E5"/>
    <w:rsid w:val="00940BA0"/>
    <w:rsid w:val="00954F1E"/>
    <w:rsid w:val="009565E6"/>
    <w:rsid w:val="00961A4E"/>
    <w:rsid w:val="00967EC5"/>
    <w:rsid w:val="00976C4B"/>
    <w:rsid w:val="009810EE"/>
    <w:rsid w:val="0099586D"/>
    <w:rsid w:val="009958E4"/>
    <w:rsid w:val="009B1633"/>
    <w:rsid w:val="009C5BD8"/>
    <w:rsid w:val="009D1327"/>
    <w:rsid w:val="009D464F"/>
    <w:rsid w:val="009D6EF2"/>
    <w:rsid w:val="009D7CD5"/>
    <w:rsid w:val="009D7EF6"/>
    <w:rsid w:val="009E192B"/>
    <w:rsid w:val="009E33DF"/>
    <w:rsid w:val="009E57F8"/>
    <w:rsid w:val="009F3976"/>
    <w:rsid w:val="009F6655"/>
    <w:rsid w:val="00A0029D"/>
    <w:rsid w:val="00A00D50"/>
    <w:rsid w:val="00A0386A"/>
    <w:rsid w:val="00A0390C"/>
    <w:rsid w:val="00A069E6"/>
    <w:rsid w:val="00A1175A"/>
    <w:rsid w:val="00A133AE"/>
    <w:rsid w:val="00A1571B"/>
    <w:rsid w:val="00A25C28"/>
    <w:rsid w:val="00A2694D"/>
    <w:rsid w:val="00A26E83"/>
    <w:rsid w:val="00A33263"/>
    <w:rsid w:val="00A45ADE"/>
    <w:rsid w:val="00A55C27"/>
    <w:rsid w:val="00A5707F"/>
    <w:rsid w:val="00A758C4"/>
    <w:rsid w:val="00A766C0"/>
    <w:rsid w:val="00A76722"/>
    <w:rsid w:val="00A771A7"/>
    <w:rsid w:val="00A82FC9"/>
    <w:rsid w:val="00A9531D"/>
    <w:rsid w:val="00AB2389"/>
    <w:rsid w:val="00AB45C1"/>
    <w:rsid w:val="00AC5A60"/>
    <w:rsid w:val="00AC5DCC"/>
    <w:rsid w:val="00AC7C54"/>
    <w:rsid w:val="00AD3AE9"/>
    <w:rsid w:val="00AD4CF0"/>
    <w:rsid w:val="00AE4175"/>
    <w:rsid w:val="00AE5A60"/>
    <w:rsid w:val="00AE62D6"/>
    <w:rsid w:val="00AF30FC"/>
    <w:rsid w:val="00B12146"/>
    <w:rsid w:val="00B14B3F"/>
    <w:rsid w:val="00B22149"/>
    <w:rsid w:val="00B25238"/>
    <w:rsid w:val="00B26AB1"/>
    <w:rsid w:val="00B34F4F"/>
    <w:rsid w:val="00B42105"/>
    <w:rsid w:val="00B467AF"/>
    <w:rsid w:val="00B47D9F"/>
    <w:rsid w:val="00B54ABD"/>
    <w:rsid w:val="00B553DF"/>
    <w:rsid w:val="00B6591D"/>
    <w:rsid w:val="00B83831"/>
    <w:rsid w:val="00B941BB"/>
    <w:rsid w:val="00BA242A"/>
    <w:rsid w:val="00BA3255"/>
    <w:rsid w:val="00BA4D5C"/>
    <w:rsid w:val="00BA4F0C"/>
    <w:rsid w:val="00BA5022"/>
    <w:rsid w:val="00BA6284"/>
    <w:rsid w:val="00BA7EAF"/>
    <w:rsid w:val="00BB045E"/>
    <w:rsid w:val="00BB0765"/>
    <w:rsid w:val="00BB6692"/>
    <w:rsid w:val="00BC745A"/>
    <w:rsid w:val="00BD0A42"/>
    <w:rsid w:val="00BD0B07"/>
    <w:rsid w:val="00BD2905"/>
    <w:rsid w:val="00BD3553"/>
    <w:rsid w:val="00BD68B3"/>
    <w:rsid w:val="00BE1C90"/>
    <w:rsid w:val="00BE7DCD"/>
    <w:rsid w:val="00C03CE7"/>
    <w:rsid w:val="00C07E69"/>
    <w:rsid w:val="00C10039"/>
    <w:rsid w:val="00C1053E"/>
    <w:rsid w:val="00C2129D"/>
    <w:rsid w:val="00C262C7"/>
    <w:rsid w:val="00C26A3A"/>
    <w:rsid w:val="00C26C32"/>
    <w:rsid w:val="00C272AF"/>
    <w:rsid w:val="00C308B8"/>
    <w:rsid w:val="00C43E1F"/>
    <w:rsid w:val="00C46335"/>
    <w:rsid w:val="00C66344"/>
    <w:rsid w:val="00C72607"/>
    <w:rsid w:val="00C754C1"/>
    <w:rsid w:val="00C75FCA"/>
    <w:rsid w:val="00C764F6"/>
    <w:rsid w:val="00C81B31"/>
    <w:rsid w:val="00C82805"/>
    <w:rsid w:val="00C847B5"/>
    <w:rsid w:val="00C9005A"/>
    <w:rsid w:val="00C92544"/>
    <w:rsid w:val="00C92990"/>
    <w:rsid w:val="00C93D1A"/>
    <w:rsid w:val="00CA379B"/>
    <w:rsid w:val="00CB4553"/>
    <w:rsid w:val="00CC2291"/>
    <w:rsid w:val="00CC2E5E"/>
    <w:rsid w:val="00CD446A"/>
    <w:rsid w:val="00CE1C9D"/>
    <w:rsid w:val="00CF0FEC"/>
    <w:rsid w:val="00CF1CB6"/>
    <w:rsid w:val="00CF2A4A"/>
    <w:rsid w:val="00D006E1"/>
    <w:rsid w:val="00D02119"/>
    <w:rsid w:val="00D036D7"/>
    <w:rsid w:val="00D14F84"/>
    <w:rsid w:val="00D1694E"/>
    <w:rsid w:val="00D21925"/>
    <w:rsid w:val="00D22E3D"/>
    <w:rsid w:val="00D22F40"/>
    <w:rsid w:val="00D22F60"/>
    <w:rsid w:val="00D25C6D"/>
    <w:rsid w:val="00D275CB"/>
    <w:rsid w:val="00D32628"/>
    <w:rsid w:val="00D3564E"/>
    <w:rsid w:val="00D478EC"/>
    <w:rsid w:val="00D52CE9"/>
    <w:rsid w:val="00D5362A"/>
    <w:rsid w:val="00D60297"/>
    <w:rsid w:val="00D67CB2"/>
    <w:rsid w:val="00D72690"/>
    <w:rsid w:val="00D73200"/>
    <w:rsid w:val="00D76C62"/>
    <w:rsid w:val="00D86A47"/>
    <w:rsid w:val="00DA0077"/>
    <w:rsid w:val="00DA4109"/>
    <w:rsid w:val="00DB3C4A"/>
    <w:rsid w:val="00DC1B11"/>
    <w:rsid w:val="00DC6868"/>
    <w:rsid w:val="00DC7099"/>
    <w:rsid w:val="00DD2E1C"/>
    <w:rsid w:val="00DD33CB"/>
    <w:rsid w:val="00DE543E"/>
    <w:rsid w:val="00DE5DF2"/>
    <w:rsid w:val="00DE6CE5"/>
    <w:rsid w:val="00DF1718"/>
    <w:rsid w:val="00E07DBC"/>
    <w:rsid w:val="00E10775"/>
    <w:rsid w:val="00E148B7"/>
    <w:rsid w:val="00E17289"/>
    <w:rsid w:val="00E21AF8"/>
    <w:rsid w:val="00E23613"/>
    <w:rsid w:val="00E313CD"/>
    <w:rsid w:val="00E375AA"/>
    <w:rsid w:val="00E379DB"/>
    <w:rsid w:val="00E437C7"/>
    <w:rsid w:val="00E43D1F"/>
    <w:rsid w:val="00E47EE4"/>
    <w:rsid w:val="00E56A9E"/>
    <w:rsid w:val="00E63E67"/>
    <w:rsid w:val="00E646E3"/>
    <w:rsid w:val="00E651F2"/>
    <w:rsid w:val="00E67012"/>
    <w:rsid w:val="00E73E72"/>
    <w:rsid w:val="00E806B0"/>
    <w:rsid w:val="00E83AAB"/>
    <w:rsid w:val="00E92441"/>
    <w:rsid w:val="00E9528B"/>
    <w:rsid w:val="00EA175A"/>
    <w:rsid w:val="00EA7E7E"/>
    <w:rsid w:val="00EB3C69"/>
    <w:rsid w:val="00EB6C11"/>
    <w:rsid w:val="00EC3FE8"/>
    <w:rsid w:val="00ED02C9"/>
    <w:rsid w:val="00ED529A"/>
    <w:rsid w:val="00EE5BD7"/>
    <w:rsid w:val="00EF2D8C"/>
    <w:rsid w:val="00F02B8F"/>
    <w:rsid w:val="00F047CD"/>
    <w:rsid w:val="00F12CC2"/>
    <w:rsid w:val="00F13D71"/>
    <w:rsid w:val="00F13D9D"/>
    <w:rsid w:val="00F15316"/>
    <w:rsid w:val="00F15E19"/>
    <w:rsid w:val="00F16202"/>
    <w:rsid w:val="00F20D65"/>
    <w:rsid w:val="00F21FA6"/>
    <w:rsid w:val="00F2248E"/>
    <w:rsid w:val="00F236A1"/>
    <w:rsid w:val="00F31F81"/>
    <w:rsid w:val="00F325FD"/>
    <w:rsid w:val="00F47415"/>
    <w:rsid w:val="00F50636"/>
    <w:rsid w:val="00F8339B"/>
    <w:rsid w:val="00F83C7D"/>
    <w:rsid w:val="00F8640E"/>
    <w:rsid w:val="00F96487"/>
    <w:rsid w:val="00FA5537"/>
    <w:rsid w:val="00FA5D10"/>
    <w:rsid w:val="00FA796D"/>
    <w:rsid w:val="00FB00A5"/>
    <w:rsid w:val="00FB2E8F"/>
    <w:rsid w:val="00FB6781"/>
    <w:rsid w:val="00FC0587"/>
    <w:rsid w:val="00FC3E33"/>
    <w:rsid w:val="00FC613E"/>
    <w:rsid w:val="00FD6536"/>
    <w:rsid w:val="00FE4F12"/>
    <w:rsid w:val="00FE7E6A"/>
    <w:rsid w:val="00FF0D71"/>
    <w:rsid w:val="00FF37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E655"/>
  <w15:docId w15:val="{926B4DED-2BDA-4839-99EA-354F3431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46335"/>
    <w:rPr>
      <w:color w:val="0000FF" w:themeColor="hyperlink"/>
      <w:u w:val="single"/>
    </w:rPr>
  </w:style>
  <w:style w:type="character" w:customStyle="1" w:styleId="MenoPendente1">
    <w:name w:val="Menção Pendente1"/>
    <w:basedOn w:val="Fontepargpadro"/>
    <w:uiPriority w:val="99"/>
    <w:semiHidden/>
    <w:unhideWhenUsed/>
    <w:rsid w:val="00C46335"/>
    <w:rPr>
      <w:color w:val="605E5C"/>
      <w:shd w:val="clear" w:color="auto" w:fill="E1DFDD"/>
    </w:rPr>
  </w:style>
  <w:style w:type="table" w:styleId="Tabelacomgrade">
    <w:name w:val="Table Grid"/>
    <w:basedOn w:val="Tabelanormal"/>
    <w:uiPriority w:val="59"/>
    <w:rsid w:val="001144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western">
    <w:name w:val="ecxwestern"/>
    <w:basedOn w:val="Normal"/>
    <w:rsid w:val="00275DBC"/>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B3C69"/>
    <w:pPr>
      <w:ind w:left="720"/>
      <w:contextualSpacing/>
    </w:pPr>
  </w:style>
  <w:style w:type="paragraph" w:styleId="Cabealho">
    <w:name w:val="header"/>
    <w:basedOn w:val="Normal"/>
    <w:link w:val="CabealhoChar"/>
    <w:uiPriority w:val="99"/>
    <w:unhideWhenUsed/>
    <w:rsid w:val="00DB3C4A"/>
    <w:pPr>
      <w:tabs>
        <w:tab w:val="center" w:pos="4252"/>
        <w:tab w:val="right" w:pos="8504"/>
      </w:tabs>
      <w:spacing w:line="240" w:lineRule="auto"/>
    </w:pPr>
  </w:style>
  <w:style w:type="character" w:customStyle="1" w:styleId="CabealhoChar">
    <w:name w:val="Cabeçalho Char"/>
    <w:basedOn w:val="Fontepargpadro"/>
    <w:link w:val="Cabealho"/>
    <w:uiPriority w:val="99"/>
    <w:rsid w:val="00DB3C4A"/>
  </w:style>
  <w:style w:type="paragraph" w:styleId="Rodap">
    <w:name w:val="footer"/>
    <w:basedOn w:val="Normal"/>
    <w:link w:val="RodapChar"/>
    <w:uiPriority w:val="99"/>
    <w:unhideWhenUsed/>
    <w:rsid w:val="00DB3C4A"/>
    <w:pPr>
      <w:tabs>
        <w:tab w:val="center" w:pos="4252"/>
        <w:tab w:val="right" w:pos="8504"/>
      </w:tabs>
      <w:spacing w:line="240" w:lineRule="auto"/>
    </w:pPr>
  </w:style>
  <w:style w:type="character" w:customStyle="1" w:styleId="RodapChar">
    <w:name w:val="Rodapé Char"/>
    <w:basedOn w:val="Fontepargpadro"/>
    <w:link w:val="Rodap"/>
    <w:uiPriority w:val="99"/>
    <w:rsid w:val="00DB3C4A"/>
  </w:style>
  <w:style w:type="paragraph" w:styleId="Pr-formataoHTML">
    <w:name w:val="HTML Preformatted"/>
    <w:basedOn w:val="Normal"/>
    <w:link w:val="Pr-formataoHTMLChar"/>
    <w:uiPriority w:val="99"/>
    <w:semiHidden/>
    <w:unhideWhenUsed/>
    <w:rsid w:val="004E7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E7B27"/>
    <w:rPr>
      <w:rFonts w:ascii="Courier New" w:eastAsia="Times New Roman" w:hAnsi="Courier New" w:cs="Courier New"/>
      <w:sz w:val="20"/>
      <w:szCs w:val="20"/>
    </w:rPr>
  </w:style>
  <w:style w:type="paragraph" w:customStyle="1" w:styleId="data-publicacao">
    <w:name w:val="data-publicacao"/>
    <w:basedOn w:val="Normal"/>
    <w:rsid w:val="004E7B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7B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4E7B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z">
    <w:name w:val="liz"/>
    <w:basedOn w:val="Normal"/>
    <w:rsid w:val="004E7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rsid w:val="004E7B27"/>
    <w:rPr>
      <w:b/>
      <w:sz w:val="48"/>
      <w:szCs w:val="48"/>
    </w:rPr>
  </w:style>
  <w:style w:type="character" w:customStyle="1" w:styleId="Ttulo2Char">
    <w:name w:val="Título 2 Char"/>
    <w:basedOn w:val="Fontepargpadro"/>
    <w:link w:val="Ttulo2"/>
    <w:uiPriority w:val="9"/>
    <w:semiHidden/>
    <w:rsid w:val="004E7B27"/>
    <w:rPr>
      <w:b/>
      <w:sz w:val="36"/>
      <w:szCs w:val="36"/>
    </w:rPr>
  </w:style>
  <w:style w:type="character" w:customStyle="1" w:styleId="Ttulo3Char">
    <w:name w:val="Título 3 Char"/>
    <w:basedOn w:val="Fontepargpadro"/>
    <w:link w:val="Ttulo3"/>
    <w:uiPriority w:val="9"/>
    <w:semiHidden/>
    <w:rsid w:val="004E7B27"/>
    <w:rPr>
      <w:b/>
      <w:sz w:val="28"/>
      <w:szCs w:val="28"/>
    </w:rPr>
  </w:style>
  <w:style w:type="character" w:customStyle="1" w:styleId="Ttulo5Char">
    <w:name w:val="Título 5 Char"/>
    <w:basedOn w:val="Fontepargpadro"/>
    <w:link w:val="Ttulo5"/>
    <w:uiPriority w:val="9"/>
    <w:rsid w:val="004E7B27"/>
    <w:rPr>
      <w:b/>
    </w:rPr>
  </w:style>
  <w:style w:type="character" w:styleId="Refdecomentrio">
    <w:name w:val="annotation reference"/>
    <w:basedOn w:val="Fontepargpadro"/>
    <w:uiPriority w:val="99"/>
    <w:semiHidden/>
    <w:unhideWhenUsed/>
    <w:rsid w:val="00404A24"/>
    <w:rPr>
      <w:sz w:val="16"/>
      <w:szCs w:val="16"/>
    </w:rPr>
  </w:style>
  <w:style w:type="paragraph" w:styleId="Textodecomentrio">
    <w:name w:val="annotation text"/>
    <w:basedOn w:val="Normal"/>
    <w:link w:val="TextodecomentrioChar"/>
    <w:uiPriority w:val="99"/>
    <w:semiHidden/>
    <w:unhideWhenUsed/>
    <w:rsid w:val="00404A2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04A24"/>
    <w:rPr>
      <w:sz w:val="20"/>
      <w:szCs w:val="20"/>
    </w:rPr>
  </w:style>
  <w:style w:type="paragraph" w:styleId="Assuntodocomentrio">
    <w:name w:val="annotation subject"/>
    <w:basedOn w:val="Textodecomentrio"/>
    <w:next w:val="Textodecomentrio"/>
    <w:link w:val="AssuntodocomentrioChar"/>
    <w:uiPriority w:val="99"/>
    <w:semiHidden/>
    <w:unhideWhenUsed/>
    <w:rsid w:val="00404A24"/>
    <w:rPr>
      <w:b/>
      <w:bCs/>
    </w:rPr>
  </w:style>
  <w:style w:type="character" w:customStyle="1" w:styleId="AssuntodocomentrioChar">
    <w:name w:val="Assunto do comentário Char"/>
    <w:basedOn w:val="TextodecomentrioChar"/>
    <w:link w:val="Assuntodocomentrio"/>
    <w:uiPriority w:val="99"/>
    <w:semiHidden/>
    <w:rsid w:val="00404A24"/>
    <w:rPr>
      <w:b/>
      <w:bCs/>
      <w:sz w:val="20"/>
      <w:szCs w:val="20"/>
    </w:rPr>
  </w:style>
  <w:style w:type="character" w:customStyle="1" w:styleId="MenoPendente2">
    <w:name w:val="Menção Pendente2"/>
    <w:basedOn w:val="Fontepargpadro"/>
    <w:uiPriority w:val="99"/>
    <w:semiHidden/>
    <w:unhideWhenUsed/>
    <w:rsid w:val="000F0453"/>
    <w:rPr>
      <w:color w:val="605E5C"/>
      <w:shd w:val="clear" w:color="auto" w:fill="E1DFDD"/>
    </w:rPr>
  </w:style>
  <w:style w:type="paragraph" w:customStyle="1" w:styleId="Default">
    <w:name w:val="Default"/>
    <w:rsid w:val="00770FE6"/>
    <w:pPr>
      <w:autoSpaceDE w:val="0"/>
      <w:autoSpaceDN w:val="0"/>
      <w:adjustRightInd w:val="0"/>
      <w:spacing w:line="240" w:lineRule="auto"/>
    </w:pPr>
    <w:rPr>
      <w:rFonts w:ascii="Times New Roman" w:hAnsi="Times New Roman" w:cs="Times New Roman"/>
      <w:color w:val="000000"/>
      <w:sz w:val="24"/>
      <w:szCs w:val="24"/>
    </w:rPr>
  </w:style>
  <w:style w:type="paragraph" w:customStyle="1" w:styleId="Recuodecorpodetexto21">
    <w:name w:val="Recuo de corpo de texto 21"/>
    <w:basedOn w:val="Normal"/>
    <w:rsid w:val="00447E93"/>
    <w:pPr>
      <w:widowControl w:val="0"/>
      <w:suppressAutoHyphens/>
      <w:spacing w:line="240" w:lineRule="auto"/>
      <w:ind w:firstLine="2520"/>
      <w:jc w:val="both"/>
    </w:pPr>
    <w:rPr>
      <w:rFonts w:ascii="Times New Roman" w:eastAsia="Lucida Sans Unicode" w:hAnsi="Times New Roman" w:cs="Times New Roman"/>
      <w:kern w:val="2"/>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299">
      <w:bodyDiv w:val="1"/>
      <w:marLeft w:val="0"/>
      <w:marRight w:val="0"/>
      <w:marTop w:val="0"/>
      <w:marBottom w:val="0"/>
      <w:divBdr>
        <w:top w:val="none" w:sz="0" w:space="0" w:color="auto"/>
        <w:left w:val="none" w:sz="0" w:space="0" w:color="auto"/>
        <w:bottom w:val="none" w:sz="0" w:space="0" w:color="auto"/>
        <w:right w:val="none" w:sz="0" w:space="0" w:color="auto"/>
      </w:divBdr>
    </w:div>
    <w:div w:id="241642350">
      <w:bodyDiv w:val="1"/>
      <w:marLeft w:val="0"/>
      <w:marRight w:val="0"/>
      <w:marTop w:val="0"/>
      <w:marBottom w:val="0"/>
      <w:divBdr>
        <w:top w:val="none" w:sz="0" w:space="0" w:color="auto"/>
        <w:left w:val="none" w:sz="0" w:space="0" w:color="auto"/>
        <w:bottom w:val="none" w:sz="0" w:space="0" w:color="auto"/>
        <w:right w:val="none" w:sz="0" w:space="0" w:color="auto"/>
      </w:divBdr>
    </w:div>
    <w:div w:id="338508706">
      <w:bodyDiv w:val="1"/>
      <w:marLeft w:val="0"/>
      <w:marRight w:val="0"/>
      <w:marTop w:val="0"/>
      <w:marBottom w:val="0"/>
      <w:divBdr>
        <w:top w:val="none" w:sz="0" w:space="0" w:color="auto"/>
        <w:left w:val="none" w:sz="0" w:space="0" w:color="auto"/>
        <w:bottom w:val="none" w:sz="0" w:space="0" w:color="auto"/>
        <w:right w:val="none" w:sz="0" w:space="0" w:color="auto"/>
      </w:divBdr>
    </w:div>
    <w:div w:id="424964514">
      <w:bodyDiv w:val="1"/>
      <w:marLeft w:val="0"/>
      <w:marRight w:val="0"/>
      <w:marTop w:val="0"/>
      <w:marBottom w:val="0"/>
      <w:divBdr>
        <w:top w:val="none" w:sz="0" w:space="0" w:color="auto"/>
        <w:left w:val="none" w:sz="0" w:space="0" w:color="auto"/>
        <w:bottom w:val="none" w:sz="0" w:space="0" w:color="auto"/>
        <w:right w:val="none" w:sz="0" w:space="0" w:color="auto"/>
      </w:divBdr>
    </w:div>
    <w:div w:id="562519488">
      <w:bodyDiv w:val="1"/>
      <w:marLeft w:val="0"/>
      <w:marRight w:val="0"/>
      <w:marTop w:val="0"/>
      <w:marBottom w:val="0"/>
      <w:divBdr>
        <w:top w:val="none" w:sz="0" w:space="0" w:color="auto"/>
        <w:left w:val="none" w:sz="0" w:space="0" w:color="auto"/>
        <w:bottom w:val="none" w:sz="0" w:space="0" w:color="auto"/>
        <w:right w:val="none" w:sz="0" w:space="0" w:color="auto"/>
      </w:divBdr>
    </w:div>
    <w:div w:id="577180196">
      <w:bodyDiv w:val="1"/>
      <w:marLeft w:val="0"/>
      <w:marRight w:val="0"/>
      <w:marTop w:val="0"/>
      <w:marBottom w:val="0"/>
      <w:divBdr>
        <w:top w:val="none" w:sz="0" w:space="0" w:color="auto"/>
        <w:left w:val="none" w:sz="0" w:space="0" w:color="auto"/>
        <w:bottom w:val="none" w:sz="0" w:space="0" w:color="auto"/>
        <w:right w:val="none" w:sz="0" w:space="0" w:color="auto"/>
      </w:divBdr>
    </w:div>
    <w:div w:id="623854112">
      <w:bodyDiv w:val="1"/>
      <w:marLeft w:val="0"/>
      <w:marRight w:val="0"/>
      <w:marTop w:val="0"/>
      <w:marBottom w:val="0"/>
      <w:divBdr>
        <w:top w:val="none" w:sz="0" w:space="0" w:color="auto"/>
        <w:left w:val="none" w:sz="0" w:space="0" w:color="auto"/>
        <w:bottom w:val="none" w:sz="0" w:space="0" w:color="auto"/>
        <w:right w:val="none" w:sz="0" w:space="0" w:color="auto"/>
      </w:divBdr>
    </w:div>
    <w:div w:id="659777364">
      <w:bodyDiv w:val="1"/>
      <w:marLeft w:val="0"/>
      <w:marRight w:val="0"/>
      <w:marTop w:val="0"/>
      <w:marBottom w:val="0"/>
      <w:divBdr>
        <w:top w:val="none" w:sz="0" w:space="0" w:color="auto"/>
        <w:left w:val="none" w:sz="0" w:space="0" w:color="auto"/>
        <w:bottom w:val="none" w:sz="0" w:space="0" w:color="auto"/>
        <w:right w:val="none" w:sz="0" w:space="0" w:color="auto"/>
      </w:divBdr>
    </w:div>
    <w:div w:id="705524516">
      <w:bodyDiv w:val="1"/>
      <w:marLeft w:val="0"/>
      <w:marRight w:val="0"/>
      <w:marTop w:val="0"/>
      <w:marBottom w:val="0"/>
      <w:divBdr>
        <w:top w:val="none" w:sz="0" w:space="0" w:color="auto"/>
        <w:left w:val="none" w:sz="0" w:space="0" w:color="auto"/>
        <w:bottom w:val="none" w:sz="0" w:space="0" w:color="auto"/>
        <w:right w:val="none" w:sz="0" w:space="0" w:color="auto"/>
      </w:divBdr>
    </w:div>
    <w:div w:id="759716610">
      <w:bodyDiv w:val="1"/>
      <w:marLeft w:val="0"/>
      <w:marRight w:val="0"/>
      <w:marTop w:val="0"/>
      <w:marBottom w:val="0"/>
      <w:divBdr>
        <w:top w:val="none" w:sz="0" w:space="0" w:color="auto"/>
        <w:left w:val="none" w:sz="0" w:space="0" w:color="auto"/>
        <w:bottom w:val="none" w:sz="0" w:space="0" w:color="auto"/>
        <w:right w:val="none" w:sz="0" w:space="0" w:color="auto"/>
      </w:divBdr>
    </w:div>
    <w:div w:id="841165902">
      <w:bodyDiv w:val="1"/>
      <w:marLeft w:val="0"/>
      <w:marRight w:val="0"/>
      <w:marTop w:val="0"/>
      <w:marBottom w:val="0"/>
      <w:divBdr>
        <w:top w:val="none" w:sz="0" w:space="0" w:color="auto"/>
        <w:left w:val="none" w:sz="0" w:space="0" w:color="auto"/>
        <w:bottom w:val="none" w:sz="0" w:space="0" w:color="auto"/>
        <w:right w:val="none" w:sz="0" w:space="0" w:color="auto"/>
      </w:divBdr>
    </w:div>
    <w:div w:id="1015770033">
      <w:bodyDiv w:val="1"/>
      <w:marLeft w:val="0"/>
      <w:marRight w:val="0"/>
      <w:marTop w:val="0"/>
      <w:marBottom w:val="0"/>
      <w:divBdr>
        <w:top w:val="none" w:sz="0" w:space="0" w:color="auto"/>
        <w:left w:val="none" w:sz="0" w:space="0" w:color="auto"/>
        <w:bottom w:val="none" w:sz="0" w:space="0" w:color="auto"/>
        <w:right w:val="none" w:sz="0" w:space="0" w:color="auto"/>
      </w:divBdr>
    </w:div>
    <w:div w:id="1119488629">
      <w:bodyDiv w:val="1"/>
      <w:marLeft w:val="0"/>
      <w:marRight w:val="0"/>
      <w:marTop w:val="0"/>
      <w:marBottom w:val="0"/>
      <w:divBdr>
        <w:top w:val="none" w:sz="0" w:space="0" w:color="auto"/>
        <w:left w:val="none" w:sz="0" w:space="0" w:color="auto"/>
        <w:bottom w:val="none" w:sz="0" w:space="0" w:color="auto"/>
        <w:right w:val="none" w:sz="0" w:space="0" w:color="auto"/>
      </w:divBdr>
    </w:div>
    <w:div w:id="1207598959">
      <w:bodyDiv w:val="1"/>
      <w:marLeft w:val="0"/>
      <w:marRight w:val="0"/>
      <w:marTop w:val="0"/>
      <w:marBottom w:val="0"/>
      <w:divBdr>
        <w:top w:val="none" w:sz="0" w:space="0" w:color="auto"/>
        <w:left w:val="none" w:sz="0" w:space="0" w:color="auto"/>
        <w:bottom w:val="none" w:sz="0" w:space="0" w:color="auto"/>
        <w:right w:val="none" w:sz="0" w:space="0" w:color="auto"/>
      </w:divBdr>
    </w:div>
    <w:div w:id="1247690064">
      <w:bodyDiv w:val="1"/>
      <w:marLeft w:val="0"/>
      <w:marRight w:val="0"/>
      <w:marTop w:val="0"/>
      <w:marBottom w:val="0"/>
      <w:divBdr>
        <w:top w:val="none" w:sz="0" w:space="0" w:color="auto"/>
        <w:left w:val="none" w:sz="0" w:space="0" w:color="auto"/>
        <w:bottom w:val="none" w:sz="0" w:space="0" w:color="auto"/>
        <w:right w:val="none" w:sz="0" w:space="0" w:color="auto"/>
      </w:divBdr>
    </w:div>
    <w:div w:id="1253314488">
      <w:bodyDiv w:val="1"/>
      <w:marLeft w:val="0"/>
      <w:marRight w:val="0"/>
      <w:marTop w:val="0"/>
      <w:marBottom w:val="0"/>
      <w:divBdr>
        <w:top w:val="none" w:sz="0" w:space="0" w:color="auto"/>
        <w:left w:val="none" w:sz="0" w:space="0" w:color="auto"/>
        <w:bottom w:val="none" w:sz="0" w:space="0" w:color="auto"/>
        <w:right w:val="none" w:sz="0" w:space="0" w:color="auto"/>
      </w:divBdr>
    </w:div>
    <w:div w:id="1346596017">
      <w:bodyDiv w:val="1"/>
      <w:marLeft w:val="0"/>
      <w:marRight w:val="0"/>
      <w:marTop w:val="0"/>
      <w:marBottom w:val="0"/>
      <w:divBdr>
        <w:top w:val="none" w:sz="0" w:space="0" w:color="auto"/>
        <w:left w:val="none" w:sz="0" w:space="0" w:color="auto"/>
        <w:bottom w:val="none" w:sz="0" w:space="0" w:color="auto"/>
        <w:right w:val="none" w:sz="0" w:space="0" w:color="auto"/>
      </w:divBdr>
    </w:div>
    <w:div w:id="1435057434">
      <w:bodyDiv w:val="1"/>
      <w:marLeft w:val="0"/>
      <w:marRight w:val="0"/>
      <w:marTop w:val="0"/>
      <w:marBottom w:val="0"/>
      <w:divBdr>
        <w:top w:val="none" w:sz="0" w:space="0" w:color="auto"/>
        <w:left w:val="none" w:sz="0" w:space="0" w:color="auto"/>
        <w:bottom w:val="none" w:sz="0" w:space="0" w:color="auto"/>
        <w:right w:val="none" w:sz="0" w:space="0" w:color="auto"/>
      </w:divBdr>
    </w:div>
    <w:div w:id="1724865144">
      <w:bodyDiv w:val="1"/>
      <w:marLeft w:val="0"/>
      <w:marRight w:val="0"/>
      <w:marTop w:val="0"/>
      <w:marBottom w:val="0"/>
      <w:divBdr>
        <w:top w:val="none" w:sz="0" w:space="0" w:color="auto"/>
        <w:left w:val="none" w:sz="0" w:space="0" w:color="auto"/>
        <w:bottom w:val="none" w:sz="0" w:space="0" w:color="auto"/>
        <w:right w:val="none" w:sz="0" w:space="0" w:color="auto"/>
      </w:divBdr>
    </w:div>
    <w:div w:id="1726831673">
      <w:bodyDiv w:val="1"/>
      <w:marLeft w:val="0"/>
      <w:marRight w:val="0"/>
      <w:marTop w:val="0"/>
      <w:marBottom w:val="0"/>
      <w:divBdr>
        <w:top w:val="none" w:sz="0" w:space="0" w:color="auto"/>
        <w:left w:val="none" w:sz="0" w:space="0" w:color="auto"/>
        <w:bottom w:val="none" w:sz="0" w:space="0" w:color="auto"/>
        <w:right w:val="none" w:sz="0" w:space="0" w:color="auto"/>
      </w:divBdr>
    </w:div>
    <w:div w:id="1810786644">
      <w:bodyDiv w:val="1"/>
      <w:marLeft w:val="0"/>
      <w:marRight w:val="0"/>
      <w:marTop w:val="0"/>
      <w:marBottom w:val="0"/>
      <w:divBdr>
        <w:top w:val="none" w:sz="0" w:space="0" w:color="auto"/>
        <w:left w:val="none" w:sz="0" w:space="0" w:color="auto"/>
        <w:bottom w:val="none" w:sz="0" w:space="0" w:color="auto"/>
        <w:right w:val="none" w:sz="0" w:space="0" w:color="auto"/>
      </w:divBdr>
    </w:div>
    <w:div w:id="1823346847">
      <w:bodyDiv w:val="1"/>
      <w:marLeft w:val="0"/>
      <w:marRight w:val="0"/>
      <w:marTop w:val="0"/>
      <w:marBottom w:val="0"/>
      <w:divBdr>
        <w:top w:val="none" w:sz="0" w:space="0" w:color="auto"/>
        <w:left w:val="none" w:sz="0" w:space="0" w:color="auto"/>
        <w:bottom w:val="none" w:sz="0" w:space="0" w:color="auto"/>
        <w:right w:val="none" w:sz="0" w:space="0" w:color="auto"/>
      </w:divBdr>
    </w:div>
    <w:div w:id="1832674778">
      <w:bodyDiv w:val="1"/>
      <w:marLeft w:val="0"/>
      <w:marRight w:val="0"/>
      <w:marTop w:val="0"/>
      <w:marBottom w:val="0"/>
      <w:divBdr>
        <w:top w:val="none" w:sz="0" w:space="0" w:color="auto"/>
        <w:left w:val="none" w:sz="0" w:space="0" w:color="auto"/>
        <w:bottom w:val="none" w:sz="0" w:space="0" w:color="auto"/>
        <w:right w:val="none" w:sz="0" w:space="0" w:color="auto"/>
      </w:divBdr>
    </w:div>
    <w:div w:id="1840540666">
      <w:bodyDiv w:val="1"/>
      <w:marLeft w:val="0"/>
      <w:marRight w:val="0"/>
      <w:marTop w:val="0"/>
      <w:marBottom w:val="0"/>
      <w:divBdr>
        <w:top w:val="none" w:sz="0" w:space="0" w:color="auto"/>
        <w:left w:val="none" w:sz="0" w:space="0" w:color="auto"/>
        <w:bottom w:val="none" w:sz="0" w:space="0" w:color="auto"/>
        <w:right w:val="none" w:sz="0" w:space="0" w:color="auto"/>
      </w:divBdr>
    </w:div>
    <w:div w:id="2021663569">
      <w:bodyDiv w:val="1"/>
      <w:marLeft w:val="0"/>
      <w:marRight w:val="0"/>
      <w:marTop w:val="0"/>
      <w:marBottom w:val="0"/>
      <w:divBdr>
        <w:top w:val="none" w:sz="0" w:space="0" w:color="auto"/>
        <w:left w:val="none" w:sz="0" w:space="0" w:color="auto"/>
        <w:bottom w:val="none" w:sz="0" w:space="0" w:color="auto"/>
        <w:right w:val="none" w:sz="0" w:space="0" w:color="auto"/>
      </w:divBdr>
    </w:div>
    <w:div w:id="2068725245">
      <w:bodyDiv w:val="1"/>
      <w:marLeft w:val="0"/>
      <w:marRight w:val="0"/>
      <w:marTop w:val="0"/>
      <w:marBottom w:val="0"/>
      <w:divBdr>
        <w:top w:val="none" w:sz="0" w:space="0" w:color="auto"/>
        <w:left w:val="none" w:sz="0" w:space="0" w:color="auto"/>
        <w:bottom w:val="none" w:sz="0" w:space="0" w:color="auto"/>
        <w:right w:val="none" w:sz="0" w:space="0" w:color="auto"/>
      </w:divBdr>
    </w:div>
    <w:div w:id="2072844114">
      <w:bodyDiv w:val="1"/>
      <w:marLeft w:val="0"/>
      <w:marRight w:val="0"/>
      <w:marTop w:val="0"/>
      <w:marBottom w:val="0"/>
      <w:divBdr>
        <w:top w:val="none" w:sz="0" w:space="0" w:color="auto"/>
        <w:left w:val="none" w:sz="0" w:space="0" w:color="auto"/>
        <w:bottom w:val="none" w:sz="0" w:space="0" w:color="auto"/>
        <w:right w:val="none" w:sz="0" w:space="0" w:color="auto"/>
      </w:divBdr>
    </w:div>
    <w:div w:id="2098868513">
      <w:bodyDiv w:val="1"/>
      <w:marLeft w:val="0"/>
      <w:marRight w:val="0"/>
      <w:marTop w:val="0"/>
      <w:marBottom w:val="0"/>
      <w:divBdr>
        <w:top w:val="none" w:sz="0" w:space="0" w:color="auto"/>
        <w:left w:val="none" w:sz="0" w:space="0" w:color="auto"/>
        <w:bottom w:val="none" w:sz="0" w:space="0" w:color="auto"/>
        <w:right w:val="none" w:sz="0" w:space="0" w:color="auto"/>
      </w:divBdr>
    </w:div>
    <w:div w:id="213983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C148-C0BE-4768-898C-1A27C15F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8254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LIVIA DE SOUZA</dc:creator>
  <cp:lastModifiedBy>Flavio Pires Incalado</cp:lastModifiedBy>
  <cp:revision>2</cp:revision>
  <cp:lastPrinted>2025-05-07T11:13:00Z</cp:lastPrinted>
  <dcterms:created xsi:type="dcterms:W3CDTF">2025-05-07T11:14:00Z</dcterms:created>
  <dcterms:modified xsi:type="dcterms:W3CDTF">2025-05-07T11:14:00Z</dcterms:modified>
</cp:coreProperties>
</file>