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60" w:before="60" w:line="276" w:lineRule="auto"/>
        <w:ind w:left="3402" w:right="-14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60" w:before="60" w:line="276" w:lineRule="auto"/>
        <w:ind w:left="3401.5748031496064" w:right="-14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ANTEPROJETO DE LEI ….... DE 2025</w:t>
      </w:r>
    </w:p>
    <w:p w:rsidR="00000000" w:rsidDel="00000000" w:rsidP="00000000" w:rsidRDefault="00000000" w:rsidRPr="00000000" w14:paraId="00000003">
      <w:pPr>
        <w:widowControl w:val="0"/>
        <w:spacing w:after="60" w:before="60" w:line="276" w:lineRule="auto"/>
        <w:ind w:left="3401.5748031496064" w:right="-14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76" w:lineRule="auto"/>
        <w:ind w:left="3401.574803149606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“INSTITUI A CAMPANHA ANUAL DE CONSCIENTIZAÇÃO E INCENTIVO À DOAÇÃO E AO TRANSPLANTE DE ÓRGÃOS E TECIDOS, E DÁ OUTROS PROVIDÊNCIAS ”.</w:t>
      </w:r>
    </w:p>
    <w:p w:rsidR="00000000" w:rsidDel="00000000" w:rsidP="00000000" w:rsidRDefault="00000000" w:rsidRPr="00000000" w14:paraId="00000005">
      <w:pPr>
        <w:spacing w:after="60" w:before="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sz w:val="24"/>
          <w:szCs w:val="24"/>
          <w:rtl w:val="0"/>
        </w:rPr>
        <w:t xml:space="preserve">  Fica instituída, no âmbito do Município de Sete Lagoas, a Campanha Anual de Conscientização e Incentivo à Doação e ao Transplante de Órgãos e Tecidos, a ser promovida pelo Poder Executivo Municipal, por meio da Secretaria Municipal de Saúde.</w:t>
      </w:r>
    </w:p>
    <w:p w:rsidR="00000000" w:rsidDel="00000000" w:rsidP="00000000" w:rsidRDefault="00000000" w:rsidRPr="00000000" w14:paraId="00000008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São objetivos da Campanha Anual de Conscientização e Incentivo à Doação e ao Transplante de Órgãos e Tecidos: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Informar e conscientizar a população sobre a importância da doação de órgãos e tecidos, contribuindo para a formação de uma cultura solidária e doadora;</w:t>
        <w:br w:type="textWrapping"/>
        <w:t xml:space="preserve"> II – Estimular o aumento do número de doadores vivos e falecidos, promovendo a ampliação e a efetividade dos transplantes.</w:t>
      </w:r>
    </w:p>
    <w:p w:rsidR="00000000" w:rsidDel="00000000" w:rsidP="00000000" w:rsidRDefault="00000000" w:rsidRPr="00000000" w14:paraId="0000000B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Nos hospitais, clínicas, laboratórios, unidades escolares, associações comunitárias, repartições públicas e demais instituições municipais, bem como nos meios de comunicação locais, deverão ser afixados ou divulgados materiais informativos e educativos sobre a doação e o transplante de órgãos e tecidos.</w:t>
      </w:r>
    </w:p>
    <w:p w:rsidR="00000000" w:rsidDel="00000000" w:rsidP="00000000" w:rsidRDefault="00000000" w:rsidRPr="00000000" w14:paraId="0000000D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0F">
      <w:pPr>
        <w:spacing w:after="60" w:before="6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Sete Lagoas/MG, 24 de abril de 2025.</w:t>
      </w:r>
    </w:p>
    <w:p w:rsidR="00000000" w:rsidDel="00000000" w:rsidP="00000000" w:rsidRDefault="00000000" w:rsidRPr="00000000" w14:paraId="00000011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Leôncio Lopes da Silva</w:t>
      </w:r>
    </w:p>
    <w:p w:rsidR="00000000" w:rsidDel="00000000" w:rsidP="00000000" w:rsidRDefault="00000000" w:rsidRPr="00000000" w14:paraId="00000013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 Câmara Municipal de Sete Lagoas</w:t>
      </w:r>
    </w:p>
    <w:p w:rsidR="00000000" w:rsidDel="00000000" w:rsidP="00000000" w:rsidRDefault="00000000" w:rsidRPr="00000000" w14:paraId="00000014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Presidente, nobres pares,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proposição tem como finalidade instituir, no âmbito do Município de Sete Lagoas,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Campanha Anual de Conscientização e Incentivo à Doação e ao Transplante de Órgãos e Tecidos.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iniciativa visa mobilizar a população, promover a informação correta e fomentar a solidariedade, elementos fundamentais para a ampliação do número de doadores e, consequentemente, o salvamento de vidas.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do Ministério da Saúde e da Associação Brasileira de Transplantes de Órgãos (ABTO) evidenciam que milhares de pessoas aguardam, por longos períodos, na fila de espera por um transplante.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Muitas dessas vidas poderiam ser salvas se houvesse maior esclarecimento e adesão da sociedade à causa da doação de órgãos. Infelizmente, ainda há mitos, receios e desinformações que inibem esse ato de generosidade extrema.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criação de uma campanha institucional, com respaldo legal, reforça o papel do Poder Público na promoção da saúde e da cidadania. A proposta contempla a afixação de cartazes informativos em unidades de saúde públicas e privadas, buscando ampliar o alcance da mensagem e estimular o diálogo familiar sobre a vontade de ser doador.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 campanha pretende formar uma consciência coletiva permanente, integrando escolas, associações comunitárias, meios de comunicação e demais instituições sociais, para que o gesto de doar se torne um valor incorporado à cultura local.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matéria está em consonância com os princípios constitucionais que asseguram o direito à vida e à saúde, bem como com políticas públicas já existentes em nível nacional. Cabe, portanto, ao município somar esforços para fortalecer essas diretrizes e adaptar as ações à realidade da população setelagoana.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o apoio dos nobres pares desta Casa Legislativa para a aprovação deste anteprojeto, com vistas à sua futura conversão em norma municipal de relevante interesse público.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  <w:tab/>
        <w:t xml:space="preserve">Assim, submeto este Anteprojeto de Lei para análise e aprovação.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  <w:t xml:space="preserve">              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673875" cy="920598"/>
          <wp:effectExtent b="0" l="0" r="0" t="0"/>
          <wp:docPr descr="A black and white logo&#10;&#10;Description automatically generated" id="568229914" name="image2.jpg"/>
          <a:graphic>
            <a:graphicData uri="http://schemas.openxmlformats.org/drawingml/2006/picture">
              <pic:pic>
                <pic:nvPicPr>
                  <pic:cNvPr descr="A black and white logo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-209542</wp:posOffset>
          </wp:positionH>
          <wp:positionV relativeFrom="paragraph">
            <wp:posOffset>-85715</wp:posOffset>
          </wp:positionV>
          <wp:extent cx="836930" cy="1052830"/>
          <wp:effectExtent b="0" l="0" r="0" t="0"/>
          <wp:wrapNone/>
          <wp:docPr descr="logo_sete_lagoas" id="568229913" name="image1.png"/>
          <a:graphic>
            <a:graphicData uri="http://schemas.openxmlformats.org/drawingml/2006/picture">
              <pic:pic>
                <pic:nvPicPr>
                  <pic:cNvPr descr="logo_sete_lagoas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line="240" w:lineRule="auto"/>
      <w:ind w:right="-752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line="240" w:lineRule="auto"/>
      <w:ind w:left="1416" w:firstLine="0"/>
      <w:rPr>
        <w:rFonts w:ascii="Times New Roman" w:cs="Times New Roman" w:eastAsia="Times New Roman" w:hAnsi="Times New Roman"/>
        <w:sz w:val="40"/>
        <w:szCs w:val="40"/>
      </w:rPr>
    </w:pPr>
    <w:bookmarkStart w:colFirst="0" w:colLast="0" w:name="_heading=h.30j0zll" w:id="0"/>
    <w:bookmarkEnd w:id="0"/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Câmara Municipal de Sete Lagoas</w:t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line="240" w:lineRule="auto"/>
      <w:ind w:left="1416" w:firstLine="0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ab/>
      <w:t xml:space="preserve">Estado de Minas Gerais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tandard" w:customStyle="1">
    <w:name w:val="Standard"/>
    <w:rsid w:val="000930BC"/>
    <w:pPr>
      <w:widowControl w:val="0"/>
      <w:suppressAutoHyphens w:val="1"/>
      <w:autoSpaceDN w:val="0"/>
      <w:spacing w:line="240" w:lineRule="auto"/>
      <w:textAlignment w:val="baseline"/>
    </w:pPr>
    <w:rPr>
      <w:rFonts w:ascii="Liberation Serif" w:cs="Lohit Hindi" w:eastAsia="WenQuanYi Micro Hei" w:hAnsi="Liberation Serif"/>
      <w:kern w:val="3"/>
      <w:sz w:val="24"/>
      <w:szCs w:val="24"/>
      <w:lang w:bidi="hi-IN" w:eastAsia="zh-CN"/>
    </w:rPr>
  </w:style>
  <w:style w:type="paragraph" w:styleId="NormalWeb">
    <w:name w:val="Normal (Web)"/>
    <w:basedOn w:val="Normal"/>
    <w:uiPriority w:val="99"/>
    <w:unhideWhenUsed w:val="1"/>
    <w:rsid w:val="000930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D67673"/>
    <w:pPr>
      <w:tabs>
        <w:tab w:val="center" w:pos="4252"/>
        <w:tab w:val="right" w:pos="8504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7673"/>
  </w:style>
  <w:style w:type="paragraph" w:styleId="Footer">
    <w:name w:val="footer"/>
    <w:basedOn w:val="Normal"/>
    <w:link w:val="FooterChar"/>
    <w:uiPriority w:val="99"/>
    <w:unhideWhenUsed w:val="1"/>
    <w:rsid w:val="00D67673"/>
    <w:pPr>
      <w:tabs>
        <w:tab w:val="center" w:pos="4252"/>
        <w:tab w:val="right" w:pos="8504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7673"/>
  </w:style>
  <w:style w:type="character" w:styleId="Hyperlink">
    <w:name w:val="Hyperlink"/>
    <w:basedOn w:val="DefaultParagraphFont"/>
    <w:uiPriority w:val="99"/>
    <w:unhideWhenUsed w:val="1"/>
    <w:rsid w:val="00D40B2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M56Km5ehQLjzr2eACZ8mZPgCA==">CgMxLjAyCWguMzBqMHpsbDgAciExWDdMSFdZVnYzMG1uVE54TnJneml6UGhMUVJITkJQTTA=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2025-03-31T11:25:00Z</dcterms:created>
  <dc:creator>RONEI MULTIMIDIA</dc:creator>
</cp:coreProperties>
</file>