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3497D" w14:textId="77777777" w:rsidR="009B69E4" w:rsidRPr="009B69E4" w:rsidRDefault="009B69E4" w:rsidP="009B69E4">
      <w:pPr>
        <w:spacing w:after="0" w:line="360" w:lineRule="auto"/>
        <w:jc w:val="both"/>
        <w:rPr>
          <w:rFonts w:ascii="Calibri" w:eastAsia="MS Mincho" w:hAnsi="Calibri" w:cs="Arial"/>
          <w:i/>
          <w:sz w:val="24"/>
          <w:szCs w:val="24"/>
          <w:lang w:eastAsia="pt-BR"/>
        </w:rPr>
      </w:pPr>
    </w:p>
    <w:p w14:paraId="087AA8C0" w14:textId="77777777" w:rsidR="006C3F10" w:rsidRDefault="006C3F10" w:rsidP="006C3F10">
      <w:pPr>
        <w:shd w:val="clear" w:color="auto" w:fill="FFFFFF"/>
        <w:spacing w:before="300" w:after="300" w:line="360" w:lineRule="auto"/>
        <w:ind w:right="300"/>
        <w:jc w:val="both"/>
        <w:outlineLvl w:val="0"/>
        <w:rPr>
          <w:rFonts w:ascii="Trebuchet MS" w:eastAsia="Times New Roman" w:hAnsi="Trebuchet MS" w:cs="Times New Roman"/>
          <w:b/>
          <w:bCs/>
          <w:kern w:val="36"/>
          <w:sz w:val="24"/>
          <w:szCs w:val="24"/>
          <w:lang w:eastAsia="pt-BR"/>
        </w:rPr>
      </w:pPr>
      <w:r>
        <w:rPr>
          <w:rFonts w:ascii="Arial" w:hAnsi="Arial" w:cs="Arial"/>
          <w:b/>
          <w:sz w:val="24"/>
          <w:szCs w:val="24"/>
        </w:rPr>
        <w:t xml:space="preserve">                                                </w:t>
      </w:r>
      <w:r>
        <w:rPr>
          <w:rFonts w:ascii="Trebuchet MS" w:eastAsia="Times New Roman" w:hAnsi="Trebuchet MS" w:cs="Times New Roman"/>
          <w:b/>
          <w:bCs/>
          <w:kern w:val="36"/>
          <w:sz w:val="24"/>
          <w:szCs w:val="24"/>
          <w:lang w:eastAsia="pt-BR"/>
        </w:rPr>
        <w:t>ANTEPROJETO DE LEI Nº _____/2024</w:t>
      </w:r>
    </w:p>
    <w:p w14:paraId="64A889EA" w14:textId="77777777" w:rsidR="006C3F10" w:rsidRDefault="006C3F10" w:rsidP="006C3F10">
      <w:pPr>
        <w:shd w:val="clear" w:color="auto" w:fill="FFFFFF"/>
        <w:spacing w:before="300" w:after="300" w:line="360" w:lineRule="auto"/>
        <w:ind w:left="3000" w:right="300"/>
        <w:jc w:val="both"/>
        <w:outlineLvl w:val="0"/>
        <w:rPr>
          <w:rFonts w:ascii="Trebuchet MS" w:eastAsia="Times New Roman" w:hAnsi="Trebuchet MS" w:cs="Times New Roman"/>
          <w:b/>
          <w:bCs/>
          <w:kern w:val="36"/>
          <w:sz w:val="24"/>
          <w:szCs w:val="24"/>
          <w:lang w:eastAsia="pt-BR"/>
        </w:rPr>
      </w:pPr>
      <w:bookmarkStart w:id="0" w:name="_GoBack"/>
      <w:r>
        <w:rPr>
          <w:rFonts w:ascii="Trebuchet MS" w:eastAsia="Times New Roman" w:hAnsi="Trebuchet MS" w:cs="Times New Roman"/>
          <w:b/>
          <w:bCs/>
          <w:kern w:val="36"/>
          <w:sz w:val="24"/>
          <w:szCs w:val="24"/>
          <w:lang w:eastAsia="pt-BR"/>
        </w:rPr>
        <w:t>DISPÕE SOBRE A CONCESSÃO DE BENEFÍCIO FISCAL OU AUXÍLIO PARA OS CASOS QUE MENCIONA E DÁ OUTRAS PROVIDÊNCIAS.</w:t>
      </w:r>
    </w:p>
    <w:bookmarkEnd w:id="0"/>
    <w:p w14:paraId="30BFD0BE" w14:textId="77777777" w:rsidR="006C3F10" w:rsidRDefault="006C3F10" w:rsidP="006C3F10">
      <w:pPr>
        <w:spacing w:line="360" w:lineRule="auto"/>
        <w:jc w:val="both"/>
        <w:rPr>
          <w:rFonts w:ascii="Trebuchet MS" w:eastAsia="Times New Roman" w:hAnsi="Trebuchet MS" w:cs="Calibri"/>
          <w:sz w:val="23"/>
          <w:szCs w:val="23"/>
          <w:shd w:val="clear" w:color="auto" w:fill="FFFFFF"/>
          <w:lang w:eastAsia="pt-BR"/>
        </w:rPr>
      </w:pPr>
      <w:r>
        <w:rPr>
          <w:rFonts w:ascii="Trebuchet MS" w:eastAsia="Times New Roman" w:hAnsi="Trebuchet MS" w:cs="Calibri"/>
          <w:sz w:val="23"/>
          <w:szCs w:val="23"/>
          <w:lang w:eastAsia="pt-BR"/>
        </w:rPr>
        <w:br/>
      </w:r>
      <w:r>
        <w:rPr>
          <w:rFonts w:ascii="Trebuchet MS" w:eastAsia="Times New Roman" w:hAnsi="Trebuchet MS" w:cs="Calibri"/>
          <w:b/>
          <w:bCs/>
          <w:sz w:val="23"/>
          <w:szCs w:val="23"/>
          <w:shd w:val="clear" w:color="auto" w:fill="FFFFFF"/>
          <w:lang w:eastAsia="pt-BR"/>
        </w:rPr>
        <w:t>Art. 1º</w:t>
      </w:r>
      <w:r>
        <w:rPr>
          <w:rFonts w:ascii="Trebuchet MS" w:eastAsia="Times New Roman" w:hAnsi="Trebuchet MS" w:cs="Calibri"/>
          <w:sz w:val="23"/>
          <w:szCs w:val="23"/>
          <w:shd w:val="clear" w:color="auto" w:fill="FFFFFF"/>
          <w:lang w:eastAsia="pt-BR"/>
        </w:rPr>
        <w:t xml:space="preserve"> - O Executivo poderá conceder benefício fiscal ou auxílio até o limite do valor do Imposto Predial e Territorial Urbano - IPTU - do exercício, aos proprietários de imóveis localizados no município de Sete Lagoas (MG), atingidos por desastre ou incidentes decorrentes de precipitação pluviométrica ou outro fato da natureza que configure grave prejuízo material, econômico ou social, mediante requerimento do contribuinte.</w:t>
      </w:r>
    </w:p>
    <w:p w14:paraId="49B7D0BB" w14:textId="77777777" w:rsidR="006C3F10" w:rsidRDefault="006C3F10" w:rsidP="006C3F10">
      <w:pPr>
        <w:spacing w:line="360" w:lineRule="auto"/>
        <w:jc w:val="both"/>
        <w:rPr>
          <w:rFonts w:ascii="Trebuchet MS" w:eastAsia="Times New Roman" w:hAnsi="Trebuchet MS" w:cs="Calibri"/>
          <w:sz w:val="23"/>
          <w:szCs w:val="23"/>
          <w:shd w:val="clear" w:color="auto" w:fill="FFFFFF"/>
          <w:lang w:eastAsia="pt-BR"/>
        </w:rPr>
      </w:pPr>
      <w:r>
        <w:rPr>
          <w:rFonts w:ascii="Trebuchet MS" w:eastAsia="Times New Roman" w:hAnsi="Trebuchet MS" w:cs="Calibri"/>
          <w:b/>
          <w:bCs/>
          <w:sz w:val="23"/>
          <w:szCs w:val="23"/>
          <w:shd w:val="clear" w:color="auto" w:fill="FFFFFF"/>
          <w:lang w:eastAsia="pt-BR"/>
        </w:rPr>
        <w:t>Art. 2º</w:t>
      </w:r>
      <w:r>
        <w:rPr>
          <w:rFonts w:ascii="Trebuchet MS" w:eastAsia="Times New Roman" w:hAnsi="Trebuchet MS" w:cs="Calibri"/>
          <w:sz w:val="23"/>
          <w:szCs w:val="23"/>
          <w:shd w:val="clear" w:color="auto" w:fill="FFFFFF"/>
          <w:lang w:eastAsia="pt-BR"/>
        </w:rPr>
        <w:t xml:space="preserve"> - O benefício fiscal poderá resultar em remissão do IPTU do exercício, ou ainda, em relação ao IPTU do exercício pago até a data do requerimento, na devolução do valor do tributo ao contribuinte, em valor nominal, e excluída a Contribuição de Coleta de Resíduos Sólidos.</w:t>
      </w:r>
    </w:p>
    <w:p w14:paraId="2BCF6941" w14:textId="77777777" w:rsidR="006C3F10" w:rsidRDefault="006C3F10" w:rsidP="006C3F10">
      <w:pPr>
        <w:spacing w:line="360" w:lineRule="auto"/>
        <w:jc w:val="both"/>
        <w:rPr>
          <w:rFonts w:ascii="Trebuchet MS" w:eastAsia="Times New Roman" w:hAnsi="Trebuchet MS" w:cs="Calibri"/>
          <w:sz w:val="23"/>
          <w:szCs w:val="23"/>
          <w:shd w:val="clear" w:color="auto" w:fill="FFFFFF"/>
          <w:lang w:eastAsia="pt-BR"/>
        </w:rPr>
      </w:pPr>
      <w:r>
        <w:rPr>
          <w:rFonts w:ascii="Trebuchet MS" w:eastAsia="Times New Roman" w:hAnsi="Trebuchet MS" w:cs="Calibri"/>
          <w:b/>
          <w:bCs/>
          <w:sz w:val="23"/>
          <w:szCs w:val="23"/>
          <w:shd w:val="clear" w:color="auto" w:fill="FFFFFF"/>
          <w:lang w:eastAsia="pt-BR"/>
        </w:rPr>
        <w:t>Parágrafo Único</w:t>
      </w:r>
      <w:r>
        <w:rPr>
          <w:rFonts w:ascii="Trebuchet MS" w:eastAsia="Times New Roman" w:hAnsi="Trebuchet MS" w:cs="Calibri"/>
          <w:sz w:val="23"/>
          <w:szCs w:val="23"/>
          <w:shd w:val="clear" w:color="auto" w:fill="FFFFFF"/>
          <w:lang w:eastAsia="pt-BR"/>
        </w:rPr>
        <w:t>. A remissão de que trata o caput deste artigo será concedida para o exercício em que ocorreu o incidente, podendo estender-se para o exercício seguinte, desde que comprovado que, pela extensão do dano, a recuperação ultrapassa o exercício.</w:t>
      </w:r>
    </w:p>
    <w:p w14:paraId="4F05BBDA" w14:textId="77777777" w:rsidR="006C3F10" w:rsidRDefault="006C3F10" w:rsidP="006C3F10">
      <w:pPr>
        <w:spacing w:line="360" w:lineRule="auto"/>
        <w:jc w:val="both"/>
        <w:rPr>
          <w:rFonts w:ascii="Trebuchet MS" w:eastAsia="Times New Roman" w:hAnsi="Trebuchet MS" w:cs="Calibri"/>
          <w:sz w:val="23"/>
          <w:szCs w:val="23"/>
          <w:shd w:val="clear" w:color="auto" w:fill="FFFFFF"/>
          <w:lang w:eastAsia="pt-BR"/>
        </w:rPr>
      </w:pPr>
      <w:r>
        <w:rPr>
          <w:rFonts w:ascii="Trebuchet MS" w:eastAsia="Times New Roman" w:hAnsi="Trebuchet MS" w:cs="Calibri"/>
          <w:b/>
          <w:bCs/>
          <w:sz w:val="23"/>
          <w:szCs w:val="23"/>
          <w:shd w:val="clear" w:color="auto" w:fill="FFFFFF"/>
          <w:lang w:eastAsia="pt-BR"/>
        </w:rPr>
        <w:t>Art. 3º</w:t>
      </w:r>
      <w:r>
        <w:rPr>
          <w:rFonts w:ascii="Trebuchet MS" w:eastAsia="Times New Roman" w:hAnsi="Trebuchet MS" w:cs="Calibri"/>
          <w:sz w:val="23"/>
          <w:szCs w:val="23"/>
          <w:shd w:val="clear" w:color="auto" w:fill="FFFFFF"/>
          <w:lang w:eastAsia="pt-BR"/>
        </w:rPr>
        <w:t xml:space="preserve"> - Esta Lei entra em vigor na data de sua publicação.</w:t>
      </w:r>
    </w:p>
    <w:p w14:paraId="2A0480D9" w14:textId="77777777" w:rsidR="006C3F10" w:rsidRDefault="006C3F10" w:rsidP="006C3F10">
      <w:pPr>
        <w:spacing w:line="360" w:lineRule="auto"/>
        <w:jc w:val="both"/>
        <w:rPr>
          <w:rFonts w:ascii="Trebuchet MS" w:eastAsia="Times New Roman" w:hAnsi="Trebuchet MS" w:cs="Calibri"/>
          <w:sz w:val="23"/>
          <w:szCs w:val="23"/>
          <w:shd w:val="clear" w:color="auto" w:fill="FFFFFF"/>
          <w:lang w:eastAsia="pt-BR"/>
        </w:rPr>
      </w:pPr>
    </w:p>
    <w:p w14:paraId="09CFD8D5" w14:textId="77777777" w:rsidR="006C3F10" w:rsidRDefault="006C3F10" w:rsidP="006C3F10">
      <w:pPr>
        <w:spacing w:line="360" w:lineRule="auto"/>
        <w:jc w:val="center"/>
        <w:rPr>
          <w:rFonts w:ascii="Trebuchet MS" w:eastAsia="Times New Roman" w:hAnsi="Trebuchet MS" w:cs="Calibri"/>
          <w:sz w:val="23"/>
          <w:szCs w:val="23"/>
          <w:shd w:val="clear" w:color="auto" w:fill="FFFFFF"/>
          <w:lang w:eastAsia="pt-BR"/>
        </w:rPr>
      </w:pPr>
      <w:r>
        <w:rPr>
          <w:rFonts w:ascii="Trebuchet MS" w:eastAsia="Times New Roman" w:hAnsi="Trebuchet MS" w:cs="Calibri"/>
          <w:sz w:val="23"/>
          <w:szCs w:val="23"/>
          <w:shd w:val="clear" w:color="auto" w:fill="FFFFFF"/>
          <w:lang w:eastAsia="pt-BR"/>
        </w:rPr>
        <w:t xml:space="preserve">Sala das Sessões, 25 de </w:t>
      </w:r>
      <w:proofErr w:type="gramStart"/>
      <w:r>
        <w:rPr>
          <w:rFonts w:ascii="Trebuchet MS" w:eastAsia="Times New Roman" w:hAnsi="Trebuchet MS" w:cs="Calibri"/>
          <w:sz w:val="23"/>
          <w:szCs w:val="23"/>
          <w:shd w:val="clear" w:color="auto" w:fill="FFFFFF"/>
          <w:lang w:eastAsia="pt-BR"/>
        </w:rPr>
        <w:t>Janeiro</w:t>
      </w:r>
      <w:proofErr w:type="gramEnd"/>
      <w:r>
        <w:rPr>
          <w:rFonts w:ascii="Trebuchet MS" w:eastAsia="Times New Roman" w:hAnsi="Trebuchet MS" w:cs="Calibri"/>
          <w:sz w:val="23"/>
          <w:szCs w:val="23"/>
          <w:shd w:val="clear" w:color="auto" w:fill="FFFFFF"/>
          <w:lang w:eastAsia="pt-BR"/>
        </w:rPr>
        <w:t xml:space="preserve"> de 2024.</w:t>
      </w:r>
    </w:p>
    <w:p w14:paraId="05BE083F" w14:textId="77777777" w:rsidR="006C3F10" w:rsidRPr="0041502B" w:rsidRDefault="006C3F10" w:rsidP="006C3F10">
      <w:pPr>
        <w:jc w:val="both"/>
        <w:rPr>
          <w:rFonts w:ascii="Arial" w:eastAsia="Times New Roman" w:hAnsi="Arial" w:cs="Arial"/>
          <w:color w:val="000000"/>
          <w:sz w:val="24"/>
          <w:szCs w:val="24"/>
          <w:lang w:eastAsia="pt-BR"/>
        </w:rPr>
      </w:pPr>
      <w:r>
        <w:rPr>
          <w:rFonts w:ascii="Arial" w:hAnsi="Arial" w:cs="Arial"/>
          <w:b/>
          <w:sz w:val="24"/>
          <w:szCs w:val="24"/>
        </w:rPr>
        <w:t xml:space="preserve">                          </w:t>
      </w:r>
    </w:p>
    <w:p w14:paraId="664F1A72" w14:textId="77777777" w:rsidR="006C3F10" w:rsidRDefault="006C3F10" w:rsidP="006C3F10">
      <w:pPr>
        <w:jc w:val="center"/>
        <w:rPr>
          <w:rFonts w:ascii="Arial" w:hAnsi="Arial" w:cs="Arial"/>
          <w:sz w:val="24"/>
          <w:szCs w:val="24"/>
        </w:rPr>
      </w:pPr>
      <w:r>
        <w:rPr>
          <w:rFonts w:ascii="Arial" w:hAnsi="Arial" w:cs="Arial"/>
          <w:noProof/>
          <w:sz w:val="24"/>
          <w:szCs w:val="24"/>
        </w:rPr>
        <w:drawing>
          <wp:inline distT="0" distB="0" distL="0" distR="0" wp14:anchorId="0F732B2F" wp14:editId="504C5FA6">
            <wp:extent cx="2152650" cy="1095375"/>
            <wp:effectExtent l="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1095375"/>
                    </a:xfrm>
                    <a:prstGeom prst="rect">
                      <a:avLst/>
                    </a:prstGeom>
                    <a:noFill/>
                  </pic:spPr>
                </pic:pic>
              </a:graphicData>
            </a:graphic>
          </wp:inline>
        </w:drawing>
      </w:r>
    </w:p>
    <w:p w14:paraId="03B68526" w14:textId="77777777" w:rsidR="006C3F10" w:rsidRDefault="006C3F10" w:rsidP="006C3F10">
      <w:pPr>
        <w:rPr>
          <w:rFonts w:ascii="Arial" w:hAnsi="Arial" w:cs="Arial"/>
          <w:b/>
          <w:sz w:val="24"/>
          <w:szCs w:val="24"/>
        </w:rPr>
      </w:pPr>
    </w:p>
    <w:p w14:paraId="0C1EAE57" w14:textId="77777777" w:rsidR="006C3F10" w:rsidRDefault="006C3F10" w:rsidP="006C3F10">
      <w:pPr>
        <w:rPr>
          <w:rFonts w:ascii="Arial" w:hAnsi="Arial" w:cs="Arial"/>
          <w:b/>
          <w:sz w:val="24"/>
          <w:szCs w:val="24"/>
        </w:rPr>
      </w:pPr>
      <w:r w:rsidRPr="005132E2">
        <w:rPr>
          <w:rFonts w:ascii="Arial" w:hAnsi="Arial" w:cs="Arial"/>
          <w:b/>
          <w:sz w:val="24"/>
          <w:szCs w:val="24"/>
        </w:rPr>
        <w:t>JUSTIFICATIVA:</w:t>
      </w:r>
    </w:p>
    <w:p w14:paraId="1013078A" w14:textId="77777777" w:rsidR="006C3F10" w:rsidRDefault="006C3F10" w:rsidP="006C3F10">
      <w:pPr>
        <w:pStyle w:val="NormalWeb"/>
        <w:shd w:val="clear" w:color="auto" w:fill="FFFFFF"/>
        <w:spacing w:before="0" w:beforeAutospacing="0" w:after="225" w:afterAutospacing="0" w:line="360" w:lineRule="auto"/>
        <w:jc w:val="both"/>
        <w:rPr>
          <w:rFonts w:ascii="Trebuchet MS" w:hAnsi="Trebuchet MS"/>
        </w:rPr>
      </w:pPr>
      <w:r>
        <w:rPr>
          <w:rFonts w:ascii="Trebuchet MS" w:hAnsi="Trebuchet MS"/>
        </w:rPr>
        <w:t>A matéria em análise concede benefício fiscal ou auxílio até o limite do valor do IPTU aos proprietários de imóveis atingidos por desastres ou incidentes decorrentes de precipitação pluviométrica ou outro fator da natureza que configure grave prejuízo material, econômico ou social, mediante requerimento do contribuinte.</w:t>
      </w:r>
    </w:p>
    <w:p w14:paraId="4514FAFF" w14:textId="77777777" w:rsidR="006C3F10" w:rsidRDefault="006C3F10" w:rsidP="006C3F10">
      <w:pPr>
        <w:pStyle w:val="NormalWeb"/>
        <w:shd w:val="clear" w:color="auto" w:fill="FFFFFF"/>
        <w:spacing w:before="0" w:beforeAutospacing="0" w:after="225" w:afterAutospacing="0" w:line="360" w:lineRule="auto"/>
        <w:jc w:val="both"/>
        <w:rPr>
          <w:rFonts w:ascii="Trebuchet MS" w:hAnsi="Trebuchet MS"/>
        </w:rPr>
      </w:pPr>
      <w:r>
        <w:rPr>
          <w:rFonts w:ascii="Trebuchet MS" w:hAnsi="Trebuchet MS"/>
        </w:rPr>
        <w:t>A proposição assegura aos contribuintes também a "devolução" dos valores já pagos na forma de imposto antes dos danos causados pelas chuvas. A norma vai beneficiar aqueles proprietários que pagam o IPTU logo no início do ano e que correm o risco de ter seu patrimônio danificado por desastres naturais. </w:t>
      </w:r>
    </w:p>
    <w:p w14:paraId="50EDD583" w14:textId="77777777" w:rsidR="006C3F10" w:rsidRDefault="006C3F10" w:rsidP="006C3F10">
      <w:pPr>
        <w:widowControl w:val="0"/>
        <w:suppressAutoHyphens/>
        <w:spacing w:after="0" w:line="360" w:lineRule="auto"/>
        <w:jc w:val="both"/>
        <w:rPr>
          <w:rFonts w:ascii="Trebuchet MS" w:hAnsi="Trebuchet MS"/>
          <w:sz w:val="24"/>
          <w:szCs w:val="24"/>
        </w:rPr>
      </w:pPr>
      <w:r>
        <w:rPr>
          <w:rFonts w:ascii="Trebuchet MS" w:hAnsi="Trebuchet MS"/>
          <w:sz w:val="24"/>
          <w:szCs w:val="24"/>
        </w:rPr>
        <w:t>Assim, diante do exposto, especialmente da importância do presente projeto, peço o apoio dos demais nobres pares para aprovação da matéria.</w:t>
      </w:r>
    </w:p>
    <w:p w14:paraId="4F24EA5D" w14:textId="77777777" w:rsidR="006C3F10" w:rsidRDefault="006C3F10" w:rsidP="006C3F10">
      <w:pPr>
        <w:widowControl w:val="0"/>
        <w:suppressAutoHyphens/>
        <w:spacing w:after="0" w:line="360" w:lineRule="auto"/>
        <w:jc w:val="both"/>
        <w:rPr>
          <w:rFonts w:ascii="Trebuchet MS" w:hAnsi="Trebuchet MS"/>
          <w:sz w:val="24"/>
          <w:szCs w:val="24"/>
        </w:rPr>
      </w:pPr>
    </w:p>
    <w:p w14:paraId="563FE194" w14:textId="77777777" w:rsidR="006C3F10" w:rsidRDefault="006C3F10" w:rsidP="006C3F10">
      <w:pPr>
        <w:widowControl w:val="0"/>
        <w:suppressAutoHyphens/>
        <w:spacing w:after="0" w:line="360" w:lineRule="auto"/>
        <w:jc w:val="center"/>
        <w:rPr>
          <w:rFonts w:ascii="Trebuchet MS" w:hAnsi="Trebuchet MS"/>
          <w:sz w:val="24"/>
          <w:szCs w:val="24"/>
        </w:rPr>
      </w:pPr>
      <w:r>
        <w:rPr>
          <w:rFonts w:ascii="Trebuchet MS" w:hAnsi="Trebuchet MS"/>
          <w:sz w:val="24"/>
          <w:szCs w:val="24"/>
        </w:rPr>
        <w:t xml:space="preserve">Sala das Sessões, 25 de </w:t>
      </w:r>
      <w:proofErr w:type="gramStart"/>
      <w:r>
        <w:rPr>
          <w:rFonts w:ascii="Trebuchet MS" w:hAnsi="Trebuchet MS"/>
          <w:sz w:val="24"/>
          <w:szCs w:val="24"/>
        </w:rPr>
        <w:t>Janeiro</w:t>
      </w:r>
      <w:proofErr w:type="gramEnd"/>
      <w:r>
        <w:rPr>
          <w:rFonts w:ascii="Trebuchet MS" w:hAnsi="Trebuchet MS"/>
          <w:sz w:val="24"/>
          <w:szCs w:val="24"/>
        </w:rPr>
        <w:t xml:space="preserve"> de 2024.</w:t>
      </w:r>
    </w:p>
    <w:p w14:paraId="6BBDC4E7" w14:textId="77777777" w:rsidR="006C3F10" w:rsidRPr="00BA12C1" w:rsidRDefault="006C3F10" w:rsidP="006C3F10">
      <w:pPr>
        <w:rPr>
          <w:rFonts w:ascii="Arial" w:hAnsi="Arial" w:cs="Arial"/>
          <w:sz w:val="24"/>
          <w:szCs w:val="24"/>
        </w:rPr>
      </w:pPr>
    </w:p>
    <w:p w14:paraId="6A37BF76" w14:textId="77777777" w:rsidR="006C3F10" w:rsidRPr="005132E2" w:rsidRDefault="006C3F10" w:rsidP="006C3F10">
      <w:pPr>
        <w:jc w:val="both"/>
        <w:rPr>
          <w:rFonts w:ascii="Arial" w:hAnsi="Arial" w:cs="Arial"/>
          <w:sz w:val="24"/>
          <w:szCs w:val="24"/>
        </w:rPr>
      </w:pPr>
    </w:p>
    <w:p w14:paraId="77B90148" w14:textId="77777777" w:rsidR="006C3F10" w:rsidRPr="005132E2" w:rsidRDefault="006C3F10" w:rsidP="006C3F10">
      <w:pPr>
        <w:jc w:val="both"/>
        <w:rPr>
          <w:rFonts w:ascii="Arial" w:hAnsi="Arial" w:cs="Arial"/>
          <w:sz w:val="24"/>
          <w:szCs w:val="24"/>
        </w:rPr>
      </w:pPr>
      <w:r w:rsidRPr="005132E2">
        <w:rPr>
          <w:rFonts w:ascii="Arial" w:hAnsi="Arial" w:cs="Arial"/>
          <w:noProof/>
          <w:sz w:val="24"/>
          <w:szCs w:val="24"/>
        </w:rPr>
        <w:drawing>
          <wp:anchor distT="0" distB="0" distL="114300" distR="114300" simplePos="0" relativeHeight="251659264" behindDoc="1" locked="0" layoutInCell="1" allowOverlap="1" wp14:anchorId="1CFE3847" wp14:editId="5FC1AE85">
            <wp:simplePos x="0" y="0"/>
            <wp:positionH relativeFrom="column">
              <wp:posOffset>2286000</wp:posOffset>
            </wp:positionH>
            <wp:positionV relativeFrom="paragraph">
              <wp:posOffset>41275</wp:posOffset>
            </wp:positionV>
            <wp:extent cx="2145030" cy="1081405"/>
            <wp:effectExtent l="0" t="0" r="0" b="0"/>
            <wp:wrapTight wrapText="bothSides">
              <wp:wrapPolygon edited="0">
                <wp:start x="9016" y="0"/>
                <wp:lineTo x="3837" y="1903"/>
                <wp:lineTo x="1151" y="3805"/>
                <wp:lineTo x="1151" y="6469"/>
                <wp:lineTo x="0" y="11415"/>
                <wp:lineTo x="0" y="17503"/>
                <wp:lineTo x="6139" y="19025"/>
                <wp:lineTo x="8824" y="20547"/>
                <wp:lineTo x="9208" y="21308"/>
                <wp:lineTo x="12277" y="21308"/>
                <wp:lineTo x="12661" y="20547"/>
                <wp:lineTo x="14004" y="18645"/>
                <wp:lineTo x="15922" y="18645"/>
                <wp:lineTo x="20909" y="14079"/>
                <wp:lineTo x="21101" y="12557"/>
                <wp:lineTo x="17840" y="5327"/>
                <wp:lineTo x="16497" y="4186"/>
                <wp:lineTo x="9783" y="0"/>
                <wp:lineTo x="9016" y="0"/>
              </wp:wrapPolygon>
            </wp:wrapTight>
            <wp:docPr id="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5030" cy="1081405"/>
                    </a:xfrm>
                    <a:prstGeom prst="rect">
                      <a:avLst/>
                    </a:prstGeom>
                    <a:noFill/>
                  </pic:spPr>
                </pic:pic>
              </a:graphicData>
            </a:graphic>
            <wp14:sizeRelH relativeFrom="page">
              <wp14:pctWidth>0</wp14:pctWidth>
            </wp14:sizeRelH>
            <wp14:sizeRelV relativeFrom="page">
              <wp14:pctHeight>0</wp14:pctHeight>
            </wp14:sizeRelV>
          </wp:anchor>
        </w:drawing>
      </w:r>
    </w:p>
    <w:p w14:paraId="2D23ADB7" w14:textId="7F7A0E11" w:rsidR="003034FB" w:rsidRPr="0029428A" w:rsidRDefault="003034FB" w:rsidP="006C3F10">
      <w:pPr>
        <w:spacing w:line="360" w:lineRule="auto"/>
        <w:jc w:val="center"/>
      </w:pPr>
    </w:p>
    <w:sectPr w:rsidR="003034FB" w:rsidRPr="0029428A" w:rsidSect="0052311D">
      <w:headerReference w:type="even" r:id="rId10"/>
      <w:headerReference w:type="default" r:id="rId11"/>
      <w:footerReference w:type="default" r:id="rId12"/>
      <w:headerReference w:type="first" r:id="rId13"/>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A9FEF" w14:textId="77777777" w:rsidR="00C674A5" w:rsidRDefault="00C674A5" w:rsidP="004C0310">
      <w:pPr>
        <w:spacing w:after="0" w:line="240" w:lineRule="auto"/>
      </w:pPr>
      <w:r>
        <w:separator/>
      </w:r>
    </w:p>
  </w:endnote>
  <w:endnote w:type="continuationSeparator" w:id="0">
    <w:p w14:paraId="1878FC3A" w14:textId="77777777" w:rsidR="00C674A5" w:rsidRDefault="00C674A5" w:rsidP="004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HGPMinchoE"/>
    <w:charset w:val="80"/>
    <w:family w:val="roman"/>
    <w:pitch w:val="variable"/>
  </w:font>
  <w:font w:name="WenQuanYi Micro Hei">
    <w:altName w:val="Times New Roman"/>
    <w:charset w:val="80"/>
    <w:family w:val="auto"/>
    <w:pitch w:val="variable"/>
  </w:font>
  <w:font w:name="Lohit Hindi">
    <w:altName w:val="Times New Roman"/>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142D9" w14:textId="04C446F0" w:rsidR="004C0310" w:rsidRPr="0052311D" w:rsidRDefault="00C24775" w:rsidP="0052311D">
    <w:pPr>
      <w:pStyle w:val="Rodap"/>
      <w:jc w:val="center"/>
    </w:pPr>
    <w:r>
      <w:rPr>
        <w:noProof/>
      </w:rPr>
      <w:drawing>
        <wp:inline distT="0" distB="0" distL="0" distR="0" wp14:anchorId="4CC48A25" wp14:editId="73DAC713">
          <wp:extent cx="6645910" cy="1003935"/>
          <wp:effectExtent l="0" t="0" r="254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39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E0A24" w14:textId="77777777" w:rsidR="00C674A5" w:rsidRDefault="00C674A5" w:rsidP="004C0310">
      <w:pPr>
        <w:spacing w:after="0" w:line="240" w:lineRule="auto"/>
      </w:pPr>
      <w:r>
        <w:separator/>
      </w:r>
    </w:p>
  </w:footnote>
  <w:footnote w:type="continuationSeparator" w:id="0">
    <w:p w14:paraId="2B1FCFB2" w14:textId="77777777" w:rsidR="00C674A5" w:rsidRDefault="00C674A5" w:rsidP="004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D01D" w14:textId="77777777" w:rsidR="004C0310" w:rsidRDefault="00C674A5">
    <w:pPr>
      <w:pStyle w:val="Cabealho"/>
    </w:pPr>
    <w:r>
      <w:rPr>
        <w:noProof/>
        <w:lang w:eastAsia="pt-BR"/>
      </w:rPr>
      <w:pict w14:anchorId="020F2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7" o:spid="_x0000_s2050" type="#_x0000_t75" style="position:absolute;margin-left:0;margin-top:0;width:522.95pt;height:726.3pt;z-index:-251656192;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4F31" w14:textId="23689F72" w:rsidR="004C0310" w:rsidRDefault="0052311D" w:rsidP="0052311D">
    <w:pPr>
      <w:pStyle w:val="Cabealho"/>
      <w:jc w:val="center"/>
    </w:pPr>
    <w:r>
      <w:rPr>
        <w:noProof/>
        <w:lang w:eastAsia="pt-BR"/>
      </w:rPr>
      <w:drawing>
        <wp:inline distT="0" distB="0" distL="0" distR="0" wp14:anchorId="1B1D172E" wp14:editId="460EF8BC">
          <wp:extent cx="4944745" cy="982345"/>
          <wp:effectExtent l="0" t="0" r="8255" b="8255"/>
          <wp:docPr id="1" name="Imagem 1" descr="D:\BKP_10-10-20\User\Desktop\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P_10-10-20\User\Desktop\PAPEL TIMB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4745" cy="982345"/>
                  </a:xfrm>
                  <a:prstGeom prst="rect">
                    <a:avLst/>
                  </a:prstGeom>
                  <a:noFill/>
                  <a:ln>
                    <a:noFill/>
                  </a:ln>
                </pic:spPr>
              </pic:pic>
            </a:graphicData>
          </a:graphic>
        </wp:inline>
      </w:drawing>
    </w:r>
  </w:p>
  <w:p w14:paraId="21E2F8CC" w14:textId="77777777" w:rsidR="00ED5692" w:rsidRPr="00ED5692" w:rsidRDefault="00C674A5">
    <w:pPr>
      <w:rPr>
        <w:b/>
        <w:sz w:val="24"/>
      </w:rPr>
    </w:pPr>
    <w:r>
      <w:rPr>
        <w:b/>
        <w:noProof/>
        <w:sz w:val="24"/>
        <w:lang w:eastAsia="pt-BR"/>
      </w:rPr>
      <w:pict w14:anchorId="47691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8" o:spid="_x0000_s2051" type="#_x0000_t75" style="position:absolute;margin-left:159.75pt;margin-top:24pt;width:432.4pt;height:553.85pt;z-index:-251655168;mso-position-horizontal-relative:margin;mso-position-vertical-relative:margin" o:allowincell="f">
          <v:imagedata r:id="rId2" o:title="fu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285D0" w14:textId="77777777" w:rsidR="004C0310" w:rsidRDefault="00C674A5">
    <w:pPr>
      <w:pStyle w:val="Cabealho"/>
    </w:pPr>
    <w:r>
      <w:rPr>
        <w:noProof/>
        <w:lang w:eastAsia="pt-BR"/>
      </w:rPr>
      <w:pict w14:anchorId="33639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6" o:spid="_x0000_s2049" type="#_x0000_t75" style="position:absolute;margin-left:0;margin-top:0;width:522.95pt;height:726.3pt;z-index:-251657216;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3E073B"/>
    <w:multiLevelType w:val="multilevel"/>
    <w:tmpl w:val="0B18F73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10"/>
    <w:rsid w:val="00036C4D"/>
    <w:rsid w:val="00037C82"/>
    <w:rsid w:val="000507C5"/>
    <w:rsid w:val="00072BCB"/>
    <w:rsid w:val="000B67E7"/>
    <w:rsid w:val="000F3993"/>
    <w:rsid w:val="00103DEE"/>
    <w:rsid w:val="001214D1"/>
    <w:rsid w:val="001302D0"/>
    <w:rsid w:val="00134F47"/>
    <w:rsid w:val="00172028"/>
    <w:rsid w:val="001747AB"/>
    <w:rsid w:val="001A1B99"/>
    <w:rsid w:val="001E53D9"/>
    <w:rsid w:val="002019D2"/>
    <w:rsid w:val="00274BCF"/>
    <w:rsid w:val="0029428A"/>
    <w:rsid w:val="0029646E"/>
    <w:rsid w:val="002F04DA"/>
    <w:rsid w:val="002F2883"/>
    <w:rsid w:val="002F4B35"/>
    <w:rsid w:val="003034FB"/>
    <w:rsid w:val="0031407F"/>
    <w:rsid w:val="00334362"/>
    <w:rsid w:val="003665CE"/>
    <w:rsid w:val="003B66A3"/>
    <w:rsid w:val="003E35ED"/>
    <w:rsid w:val="00452095"/>
    <w:rsid w:val="00460177"/>
    <w:rsid w:val="0049202E"/>
    <w:rsid w:val="004C0310"/>
    <w:rsid w:val="004D732C"/>
    <w:rsid w:val="0052311D"/>
    <w:rsid w:val="00541109"/>
    <w:rsid w:val="005676B6"/>
    <w:rsid w:val="00584699"/>
    <w:rsid w:val="005A671B"/>
    <w:rsid w:val="005A6B94"/>
    <w:rsid w:val="005B7460"/>
    <w:rsid w:val="00615E14"/>
    <w:rsid w:val="006906B1"/>
    <w:rsid w:val="006A47FF"/>
    <w:rsid w:val="006A5BFC"/>
    <w:rsid w:val="006C3F10"/>
    <w:rsid w:val="006F0773"/>
    <w:rsid w:val="006F5B38"/>
    <w:rsid w:val="007A2068"/>
    <w:rsid w:val="008B65A8"/>
    <w:rsid w:val="00903130"/>
    <w:rsid w:val="00916ABF"/>
    <w:rsid w:val="009179B8"/>
    <w:rsid w:val="00925877"/>
    <w:rsid w:val="00926C7A"/>
    <w:rsid w:val="00996482"/>
    <w:rsid w:val="009A7555"/>
    <w:rsid w:val="009B69E4"/>
    <w:rsid w:val="009D4295"/>
    <w:rsid w:val="00A15BE2"/>
    <w:rsid w:val="00A71BC7"/>
    <w:rsid w:val="00AA118A"/>
    <w:rsid w:val="00AB4525"/>
    <w:rsid w:val="00AC0AB8"/>
    <w:rsid w:val="00AC234D"/>
    <w:rsid w:val="00B14CB0"/>
    <w:rsid w:val="00B41587"/>
    <w:rsid w:val="00B516C4"/>
    <w:rsid w:val="00B90172"/>
    <w:rsid w:val="00BA08B6"/>
    <w:rsid w:val="00BC3264"/>
    <w:rsid w:val="00BE1721"/>
    <w:rsid w:val="00C24775"/>
    <w:rsid w:val="00C25504"/>
    <w:rsid w:val="00C32A39"/>
    <w:rsid w:val="00C56611"/>
    <w:rsid w:val="00C674A5"/>
    <w:rsid w:val="00D210AD"/>
    <w:rsid w:val="00D30BA9"/>
    <w:rsid w:val="00D33B7A"/>
    <w:rsid w:val="00D401FF"/>
    <w:rsid w:val="00D606CA"/>
    <w:rsid w:val="00D6647D"/>
    <w:rsid w:val="00D96A2C"/>
    <w:rsid w:val="00DD23C2"/>
    <w:rsid w:val="00DF3EE3"/>
    <w:rsid w:val="00E73F70"/>
    <w:rsid w:val="00E92BA4"/>
    <w:rsid w:val="00EB6281"/>
    <w:rsid w:val="00ED5692"/>
    <w:rsid w:val="00ED7C86"/>
    <w:rsid w:val="00F22E4A"/>
    <w:rsid w:val="00F350D5"/>
    <w:rsid w:val="00F37EDA"/>
    <w:rsid w:val="00F66D4E"/>
    <w:rsid w:val="00F70841"/>
    <w:rsid w:val="00F75B01"/>
    <w:rsid w:val="00F84B59"/>
    <w:rsid w:val="00FA097C"/>
    <w:rsid w:val="00FA292B"/>
    <w:rsid w:val="00FC43F8"/>
    <w:rsid w:val="00FD76A7"/>
    <w:rsid w:val="00FE76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18FA4"/>
  <w15:docId w15:val="{C11A2262-22A2-4B6C-8C1B-9AD09F50E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Corpodetexto"/>
    <w:link w:val="Ttulo1Char"/>
    <w:qFormat/>
    <w:rsid w:val="00460177"/>
    <w:pPr>
      <w:numPr>
        <w:numId w:val="1"/>
      </w:numPr>
      <w:suppressAutoHyphens/>
      <w:spacing w:before="440" w:after="60" w:line="240" w:lineRule="auto"/>
      <w:jc w:val="center"/>
      <w:outlineLvl w:val="0"/>
    </w:pPr>
    <w:rPr>
      <w:rFonts w:ascii="Times New Roman" w:eastAsia="Arial" w:hAnsi="Times New Roman" w:cs="Times New Roman"/>
      <w:b/>
      <w:kern w:val="2"/>
      <w:sz w:val="50"/>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3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310"/>
  </w:style>
  <w:style w:type="paragraph" w:styleId="Rodap">
    <w:name w:val="footer"/>
    <w:basedOn w:val="Normal"/>
    <w:link w:val="RodapChar"/>
    <w:uiPriority w:val="99"/>
    <w:unhideWhenUsed/>
    <w:rsid w:val="004C0310"/>
    <w:pPr>
      <w:tabs>
        <w:tab w:val="center" w:pos="4252"/>
        <w:tab w:val="right" w:pos="8504"/>
      </w:tabs>
      <w:spacing w:after="0" w:line="240" w:lineRule="auto"/>
    </w:pPr>
  </w:style>
  <w:style w:type="character" w:customStyle="1" w:styleId="RodapChar">
    <w:name w:val="Rodapé Char"/>
    <w:basedOn w:val="Fontepargpadro"/>
    <w:link w:val="Rodap"/>
    <w:uiPriority w:val="99"/>
    <w:rsid w:val="004C0310"/>
  </w:style>
  <w:style w:type="paragraph" w:styleId="Textodebalo">
    <w:name w:val="Balloon Text"/>
    <w:basedOn w:val="Normal"/>
    <w:link w:val="TextodebaloChar"/>
    <w:uiPriority w:val="99"/>
    <w:semiHidden/>
    <w:unhideWhenUsed/>
    <w:rsid w:val="004C03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310"/>
    <w:rPr>
      <w:rFonts w:ascii="Tahoma" w:hAnsi="Tahoma" w:cs="Tahoma"/>
      <w:sz w:val="16"/>
      <w:szCs w:val="16"/>
    </w:rPr>
  </w:style>
  <w:style w:type="paragraph" w:styleId="SemEspaamento">
    <w:name w:val="No Spacing"/>
    <w:uiPriority w:val="1"/>
    <w:qFormat/>
    <w:rsid w:val="0031407F"/>
    <w:pPr>
      <w:spacing w:after="0" w:line="240" w:lineRule="auto"/>
    </w:pPr>
    <w:rPr>
      <w:rFonts w:ascii="Calibri" w:eastAsia="MS Mincho" w:hAnsi="Calibri" w:cs="Times New Roman"/>
      <w:lang w:eastAsia="pt-BR"/>
    </w:rPr>
  </w:style>
  <w:style w:type="paragraph" w:styleId="Corpodetexto">
    <w:name w:val="Body Text"/>
    <w:basedOn w:val="Normal"/>
    <w:link w:val="CorpodetextoChar"/>
    <w:unhideWhenUsed/>
    <w:rsid w:val="00D6647D"/>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Char">
    <w:name w:val="Corpo de texto Char"/>
    <w:basedOn w:val="Fontepargpadro"/>
    <w:link w:val="Corpodetexto"/>
    <w:rsid w:val="00D6647D"/>
    <w:rPr>
      <w:rFonts w:ascii="Times New Roman" w:eastAsia="Times New Roman" w:hAnsi="Times New Roman" w:cs="Times New Roman"/>
      <w:sz w:val="28"/>
      <w:szCs w:val="24"/>
      <w:lang w:eastAsia="ar-SA"/>
    </w:rPr>
  </w:style>
  <w:style w:type="paragraph" w:customStyle="1" w:styleId="Textbody">
    <w:name w:val="Text body"/>
    <w:basedOn w:val="Normal"/>
    <w:rsid w:val="00D6647D"/>
    <w:pPr>
      <w:widowControl w:val="0"/>
      <w:suppressAutoHyphens/>
      <w:autoSpaceDN w:val="0"/>
      <w:spacing w:after="120" w:line="240" w:lineRule="auto"/>
    </w:pPr>
    <w:rPr>
      <w:rFonts w:ascii="Liberation Serif" w:eastAsia="WenQuanYi Micro Hei" w:hAnsi="Liberation Serif" w:cs="Lohit Hindi"/>
      <w:kern w:val="3"/>
      <w:sz w:val="24"/>
      <w:szCs w:val="24"/>
      <w:lang w:eastAsia="zh-CN" w:bidi="hi-IN"/>
    </w:rPr>
  </w:style>
  <w:style w:type="character" w:customStyle="1" w:styleId="Ttulo1Char">
    <w:name w:val="Título 1 Char"/>
    <w:basedOn w:val="Fontepargpadro"/>
    <w:link w:val="Ttulo1"/>
    <w:rsid w:val="00460177"/>
    <w:rPr>
      <w:rFonts w:ascii="Times New Roman" w:eastAsia="Arial" w:hAnsi="Times New Roman" w:cs="Times New Roman"/>
      <w:b/>
      <w:kern w:val="2"/>
      <w:sz w:val="50"/>
      <w:szCs w:val="24"/>
      <w:lang w:eastAsia="zh-CN" w:bidi="hi-IN"/>
    </w:rPr>
  </w:style>
  <w:style w:type="paragraph" w:customStyle="1" w:styleId="Standard">
    <w:name w:val="Standard"/>
    <w:rsid w:val="003B66A3"/>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NormalWeb">
    <w:name w:val="Normal (Web)"/>
    <w:basedOn w:val="Normal"/>
    <w:uiPriority w:val="99"/>
    <w:unhideWhenUsed/>
    <w:rsid w:val="006C3F1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69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4238-7209-42DB-95D8-EEEC09AF2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330</Words>
  <Characters>1788</Characters>
  <Application>Microsoft Office Word</Application>
  <DocSecurity>0</DocSecurity>
  <Lines>14</Lines>
  <Paragraphs>4</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ANTEPROJETO DE LEI Nº _____/2024</vt:lpstr>
      <vt:lpstr>DISPÕE SOBRE A CONCESSÃO DE BENEFÍCIO FISCAL OU AUXÍLIO PARA OS CASOS QUE MENCIO</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Cliente</dc:creator>
  <cp:lastModifiedBy>Eraldo.04</cp:lastModifiedBy>
  <cp:revision>2</cp:revision>
  <cp:lastPrinted>2024-01-25T19:36:00Z</cp:lastPrinted>
  <dcterms:created xsi:type="dcterms:W3CDTF">2024-01-25T19:37:00Z</dcterms:created>
  <dcterms:modified xsi:type="dcterms:W3CDTF">2024-01-25T19:37:00Z</dcterms:modified>
</cp:coreProperties>
</file>