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2"/>
        <w:gridCol w:w="8774"/>
      </w:tblGrid>
      <w:tr w:rsidR="00071071" w14:paraId="76BD042C" w14:textId="77777777" w:rsidTr="00F639E8">
        <w:trPr>
          <w:trHeight w:val="1080"/>
        </w:trPr>
        <w:tc>
          <w:tcPr>
            <w:tcW w:w="1082" w:type="dxa"/>
            <w:vAlign w:val="center"/>
          </w:tcPr>
          <w:p w14:paraId="287510DF" w14:textId="77777777" w:rsidR="00071071" w:rsidRDefault="004A09B9" w:rsidP="003107BB">
            <w:pPr>
              <w:snapToGrid w:val="0"/>
              <w:rPr>
                <w:rFonts w:cs="Tahoma"/>
                <w:color w:val="000080"/>
              </w:rPr>
            </w:pPr>
            <w:r>
              <w:rPr>
                <w:rFonts w:cs="Tahoma"/>
                <w:noProof/>
                <w:color w:val="000080"/>
              </w:rPr>
              <w:drawing>
                <wp:anchor distT="0" distB="0" distL="114300" distR="114300" simplePos="0" relativeHeight="251658240" behindDoc="0" locked="0" layoutInCell="1" allowOverlap="1" wp14:anchorId="7E11866E" wp14:editId="015F26CC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-127000</wp:posOffset>
                  </wp:positionV>
                  <wp:extent cx="733425" cy="804545"/>
                  <wp:effectExtent l="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D4ADC">
              <w:rPr>
                <w:rFonts w:cs="Tahoma"/>
                <w:color w:val="000080"/>
              </w:rPr>
              <w:t xml:space="preserve"> </w:t>
            </w:r>
          </w:p>
        </w:tc>
        <w:tc>
          <w:tcPr>
            <w:tcW w:w="8774" w:type="dxa"/>
            <w:vAlign w:val="center"/>
          </w:tcPr>
          <w:p w14:paraId="2E150066" w14:textId="77777777" w:rsidR="00071071" w:rsidRDefault="00071071" w:rsidP="003107BB">
            <w:pPr>
              <w:keepNext/>
              <w:snapToGrid w:val="0"/>
              <w:ind w:left="-195"/>
              <w:jc w:val="center"/>
              <w:rPr>
                <w:rFonts w:cs="Tahoma"/>
                <w:sz w:val="36"/>
                <w:szCs w:val="36"/>
              </w:rPr>
            </w:pPr>
            <w:r>
              <w:rPr>
                <w:rFonts w:cs="Tahoma"/>
                <w:sz w:val="36"/>
                <w:szCs w:val="36"/>
              </w:rPr>
              <w:t>PREFEITURA MUNICIPAL DE SETE LAGOAS</w:t>
            </w:r>
          </w:p>
        </w:tc>
      </w:tr>
    </w:tbl>
    <w:p w14:paraId="4C55F1E3" w14:textId="77777777" w:rsidR="00094133" w:rsidRPr="00E701BB" w:rsidRDefault="00094133" w:rsidP="00B36AD9">
      <w:pPr>
        <w:autoSpaceDE w:val="0"/>
        <w:ind w:firstLine="2268"/>
        <w:jc w:val="both"/>
        <w:rPr>
          <w:rFonts w:eastAsia="TimesNewRomanPS-BoldMT"/>
          <w:b/>
          <w:bCs/>
        </w:rPr>
      </w:pPr>
    </w:p>
    <w:p w14:paraId="182D6C81" w14:textId="77777777" w:rsidR="00071071" w:rsidRPr="00E701BB" w:rsidRDefault="00AD17A1" w:rsidP="00B36AD9">
      <w:pPr>
        <w:autoSpaceDE w:val="0"/>
        <w:ind w:firstLine="2268"/>
        <w:jc w:val="both"/>
        <w:rPr>
          <w:rFonts w:eastAsia="TimesNewRomanPS-BoldMT"/>
          <w:b/>
          <w:bCs/>
        </w:rPr>
      </w:pPr>
      <w:r w:rsidRPr="00E701BB">
        <w:rPr>
          <w:rFonts w:eastAsia="TimesNewRomanPS-BoldMT"/>
          <w:b/>
          <w:bCs/>
        </w:rPr>
        <w:t xml:space="preserve">PROJETO DE LEI Nº </w:t>
      </w:r>
      <w:r w:rsidR="004F0116">
        <w:rPr>
          <w:rFonts w:eastAsia="TimesNewRomanPS-BoldMT"/>
          <w:b/>
          <w:bCs/>
        </w:rPr>
        <w:t xml:space="preserve">    </w:t>
      </w:r>
      <w:r w:rsidR="00841074">
        <w:rPr>
          <w:rFonts w:eastAsia="TimesNewRomanPS-BoldMT"/>
          <w:b/>
          <w:bCs/>
        </w:rPr>
        <w:t xml:space="preserve">   </w:t>
      </w:r>
      <w:r w:rsidR="004F0116">
        <w:rPr>
          <w:rFonts w:eastAsia="TimesNewRomanPS-BoldMT"/>
          <w:b/>
          <w:bCs/>
        </w:rPr>
        <w:t xml:space="preserve">  </w:t>
      </w:r>
      <w:r w:rsidR="00B24427">
        <w:rPr>
          <w:rFonts w:eastAsia="TimesNewRomanPS-BoldMT"/>
          <w:b/>
          <w:bCs/>
        </w:rPr>
        <w:t>/202</w:t>
      </w:r>
      <w:r w:rsidR="00C94F35">
        <w:rPr>
          <w:rFonts w:eastAsia="TimesNewRomanPS-BoldMT"/>
          <w:b/>
          <w:bCs/>
        </w:rPr>
        <w:t>3</w:t>
      </w:r>
      <w:r w:rsidR="00071071" w:rsidRPr="00E701BB">
        <w:rPr>
          <w:rFonts w:eastAsia="TimesNewRomanPS-BoldMT"/>
          <w:b/>
          <w:bCs/>
        </w:rPr>
        <w:t>.</w:t>
      </w:r>
    </w:p>
    <w:p w14:paraId="21A85EF1" w14:textId="77777777" w:rsidR="00071071" w:rsidRDefault="00071071" w:rsidP="00B36AD9">
      <w:pPr>
        <w:autoSpaceDE w:val="0"/>
        <w:ind w:firstLine="2268"/>
        <w:jc w:val="both"/>
        <w:rPr>
          <w:rFonts w:eastAsia="TimesNewRomanPS-BoldMT"/>
          <w:b/>
          <w:bCs/>
        </w:rPr>
      </w:pPr>
    </w:p>
    <w:p w14:paraId="18F4475F" w14:textId="11725579" w:rsidR="000476D5" w:rsidRDefault="00711402" w:rsidP="00B36AD9">
      <w:pPr>
        <w:autoSpaceDE w:val="0"/>
        <w:ind w:left="2268"/>
        <w:jc w:val="both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DISP</w:t>
      </w:r>
      <w:r w:rsidR="004111E2">
        <w:rPr>
          <w:rFonts w:eastAsia="TimesNewRomanPS-BoldMT"/>
          <w:b/>
          <w:bCs/>
        </w:rPr>
        <w:t>Õ</w:t>
      </w:r>
      <w:r>
        <w:rPr>
          <w:rFonts w:eastAsia="TimesNewRomanPS-BoldMT"/>
          <w:b/>
          <w:bCs/>
        </w:rPr>
        <w:t xml:space="preserve">E SOBRE AUTORIZAÇÃO PARA </w:t>
      </w:r>
      <w:r w:rsidRPr="00711402">
        <w:rPr>
          <w:rFonts w:eastAsia="TimesNewRomanPS-BoldMT"/>
          <w:b/>
          <w:bCs/>
        </w:rPr>
        <w:t xml:space="preserve">CONCEDER TRANSFERÊNCIA DE RECURSOS NA MODALIDADE </w:t>
      </w:r>
      <w:r>
        <w:rPr>
          <w:rFonts w:eastAsia="TimesNewRomanPS-BoldMT"/>
          <w:b/>
          <w:bCs/>
        </w:rPr>
        <w:t xml:space="preserve">SUBVENÇÃO </w:t>
      </w:r>
      <w:r w:rsidR="002274C4">
        <w:rPr>
          <w:rFonts w:eastAsia="TimesNewRomanPS-BoldMT"/>
          <w:b/>
          <w:bCs/>
        </w:rPr>
        <w:t>À</w:t>
      </w:r>
      <w:r w:rsidRPr="00711402">
        <w:rPr>
          <w:rFonts w:eastAsia="TimesNewRomanPS-BoldMT"/>
          <w:b/>
          <w:bCs/>
        </w:rPr>
        <w:t xml:space="preserve"> </w:t>
      </w:r>
      <w:r w:rsidRPr="00615F4A">
        <w:rPr>
          <w:rFonts w:eastAsia="TimesNewRomanPS-BoldMT"/>
          <w:b/>
          <w:bCs/>
          <w:lang w:bidi="pt-BR"/>
        </w:rPr>
        <w:t>LIGA ECLÉTICA DESPORTIVA SETELAGOANA</w:t>
      </w:r>
      <w:r w:rsidR="004111E2">
        <w:rPr>
          <w:rFonts w:eastAsia="TimesNewRomanPS-BoldMT"/>
          <w:b/>
          <w:bCs/>
          <w:lang w:bidi="pt-BR"/>
        </w:rPr>
        <w:t xml:space="preserve">, </w:t>
      </w:r>
      <w:r w:rsidRPr="004111E2">
        <w:rPr>
          <w:rFonts w:eastAsia="TimesNewRomanPS-BoldMT"/>
          <w:b/>
          <w:bCs/>
          <w:lang w:bidi="pt-BR"/>
        </w:rPr>
        <w:t xml:space="preserve">ABRIR </w:t>
      </w:r>
      <w:r w:rsidRPr="004111E2">
        <w:rPr>
          <w:rFonts w:eastAsia="TimesNewRomanPS-BoldMT"/>
          <w:b/>
          <w:bCs/>
        </w:rPr>
        <w:t>CR</w:t>
      </w:r>
      <w:r w:rsidR="004111E2">
        <w:rPr>
          <w:rFonts w:eastAsia="TimesNewRomanPS-BoldMT"/>
          <w:b/>
          <w:bCs/>
        </w:rPr>
        <w:t>É</w:t>
      </w:r>
      <w:r w:rsidRPr="004111E2">
        <w:rPr>
          <w:rFonts w:eastAsia="TimesNewRomanPS-BoldMT"/>
          <w:b/>
          <w:bCs/>
        </w:rPr>
        <w:t xml:space="preserve">DITO ESPECIAL E </w:t>
      </w:r>
      <w:r w:rsidRPr="004111E2">
        <w:rPr>
          <w:rFonts w:eastAsia="TimesNewRomanPS-BoldMT"/>
          <w:b/>
          <w:bCs/>
          <w:lang w:bidi="pt-BR"/>
        </w:rPr>
        <w:t xml:space="preserve">DÁ </w:t>
      </w:r>
      <w:r w:rsidRPr="004111E2">
        <w:rPr>
          <w:rFonts w:eastAsia="TimesNewRomanPS-BoldMT"/>
          <w:b/>
          <w:bCs/>
        </w:rPr>
        <w:t>OUTRAS PROVIDENCIAS.</w:t>
      </w:r>
    </w:p>
    <w:p w14:paraId="6E62C147" w14:textId="77777777" w:rsidR="000476D5" w:rsidRDefault="000476D5" w:rsidP="00B36AD9">
      <w:pPr>
        <w:autoSpaceDE w:val="0"/>
        <w:ind w:left="2268"/>
        <w:jc w:val="both"/>
        <w:rPr>
          <w:rFonts w:eastAsia="TimesNewRomanPS-BoldMT"/>
          <w:b/>
          <w:bCs/>
        </w:rPr>
      </w:pPr>
    </w:p>
    <w:p w14:paraId="5D9DC2B8" w14:textId="77777777" w:rsidR="007F44B0" w:rsidRDefault="00071071" w:rsidP="00B36AD9">
      <w:pPr>
        <w:autoSpaceDE w:val="0"/>
        <w:ind w:firstLine="2268"/>
        <w:jc w:val="both"/>
        <w:rPr>
          <w:rFonts w:cs="Tahoma"/>
        </w:rPr>
      </w:pPr>
      <w:r w:rsidRPr="00E701BB">
        <w:rPr>
          <w:rFonts w:eastAsia="TimesNewRomanPSMT"/>
        </w:rPr>
        <w:t xml:space="preserve">Art. 1º Fica o Poder </w:t>
      </w:r>
      <w:r w:rsidR="00AD17A1" w:rsidRPr="00E701BB">
        <w:rPr>
          <w:rFonts w:eastAsia="TimesNewRomanPSMT"/>
        </w:rPr>
        <w:t xml:space="preserve">Executivo Municipal autorizado a conceder subvenção social </w:t>
      </w:r>
      <w:r w:rsidR="000F0BD7" w:rsidRPr="00E701BB">
        <w:rPr>
          <w:rFonts w:eastAsia="TimesNewRomanPSMT"/>
        </w:rPr>
        <w:t xml:space="preserve">à </w:t>
      </w:r>
      <w:r w:rsidR="00615F4A" w:rsidRPr="008754CB">
        <w:rPr>
          <w:bCs/>
        </w:rPr>
        <w:t xml:space="preserve">Liga Eclética Desportiva </w:t>
      </w:r>
      <w:proofErr w:type="spellStart"/>
      <w:r w:rsidR="00615F4A" w:rsidRPr="008754CB">
        <w:rPr>
          <w:bCs/>
        </w:rPr>
        <w:t>Setelagoana</w:t>
      </w:r>
      <w:proofErr w:type="spellEnd"/>
      <w:r w:rsidR="00615F4A" w:rsidRPr="008754CB">
        <w:rPr>
          <w:bCs/>
        </w:rPr>
        <w:t xml:space="preserve">, </w:t>
      </w:r>
      <w:r w:rsidR="00615F4A" w:rsidRPr="008754CB">
        <w:t xml:space="preserve">inscrita no CNPJ sob nº </w:t>
      </w:r>
      <w:r w:rsidR="00615F4A">
        <w:t>18.451.690/0001-60</w:t>
      </w:r>
      <w:r w:rsidR="007F44B0">
        <w:rPr>
          <w:rFonts w:cs="Tahoma"/>
        </w:rPr>
        <w:t xml:space="preserve">, com sede na </w:t>
      </w:r>
      <w:r w:rsidR="00615F4A">
        <w:rPr>
          <w:rFonts w:cs="Tahoma"/>
        </w:rPr>
        <w:t>Avenida Antônio Olinto</w:t>
      </w:r>
      <w:r w:rsidR="007F44B0">
        <w:rPr>
          <w:rFonts w:cs="Tahoma"/>
        </w:rPr>
        <w:t>, n</w:t>
      </w:r>
      <w:r w:rsidR="00615F4A">
        <w:rPr>
          <w:rFonts w:cs="Tahoma"/>
        </w:rPr>
        <w:t>º</w:t>
      </w:r>
      <w:r w:rsidR="007F44B0">
        <w:rPr>
          <w:rFonts w:cs="Tahoma"/>
        </w:rPr>
        <w:t xml:space="preserve"> </w:t>
      </w:r>
      <w:r w:rsidR="00615F4A">
        <w:rPr>
          <w:rFonts w:cs="Tahoma"/>
        </w:rPr>
        <w:t>1.066</w:t>
      </w:r>
      <w:r w:rsidR="007F44B0">
        <w:rPr>
          <w:rFonts w:cs="Tahoma"/>
        </w:rPr>
        <w:t xml:space="preserve">, Bairro </w:t>
      </w:r>
      <w:r w:rsidR="00615F4A">
        <w:rPr>
          <w:rFonts w:cs="Tahoma"/>
        </w:rPr>
        <w:t>Boa Vista</w:t>
      </w:r>
      <w:r w:rsidR="007F44B0">
        <w:rPr>
          <w:rFonts w:cs="Tahoma"/>
        </w:rPr>
        <w:t xml:space="preserve">, na cidade de Sete Lagoas/MG, no valor </w:t>
      </w:r>
      <w:r w:rsidR="00A56C05">
        <w:rPr>
          <w:rFonts w:cs="Tahoma"/>
        </w:rPr>
        <w:t xml:space="preserve">total </w:t>
      </w:r>
      <w:r w:rsidR="007F44B0">
        <w:rPr>
          <w:rFonts w:cs="Tahoma"/>
        </w:rPr>
        <w:t xml:space="preserve">de </w:t>
      </w:r>
      <w:r w:rsidR="007F44B0" w:rsidRPr="0076454C">
        <w:rPr>
          <w:rFonts w:cs="Tahoma"/>
        </w:rPr>
        <w:t>R$</w:t>
      </w:r>
      <w:r w:rsidR="007F44B0">
        <w:rPr>
          <w:rFonts w:cs="Tahoma"/>
        </w:rPr>
        <w:t xml:space="preserve"> </w:t>
      </w:r>
      <w:r w:rsidR="00615F4A">
        <w:rPr>
          <w:rFonts w:cs="Tahoma"/>
        </w:rPr>
        <w:t>43.423,42</w:t>
      </w:r>
      <w:r w:rsidR="0076454C">
        <w:rPr>
          <w:rFonts w:cs="Tahoma"/>
        </w:rPr>
        <w:t xml:space="preserve"> (quarenta e </w:t>
      </w:r>
      <w:r w:rsidR="00615F4A">
        <w:rPr>
          <w:rFonts w:cs="Tahoma"/>
        </w:rPr>
        <w:t>três</w:t>
      </w:r>
      <w:r w:rsidR="0076454C">
        <w:rPr>
          <w:rFonts w:cs="Tahoma"/>
        </w:rPr>
        <w:t xml:space="preserve"> mil, </w:t>
      </w:r>
      <w:r w:rsidR="00615F4A">
        <w:rPr>
          <w:rFonts w:cs="Tahoma"/>
        </w:rPr>
        <w:t>quatrocentos e vinte e três reais e quarenta e dois centavos</w:t>
      </w:r>
      <w:r w:rsidR="0076454C">
        <w:rPr>
          <w:rFonts w:cs="Tahoma"/>
        </w:rPr>
        <w:t>).</w:t>
      </w:r>
    </w:p>
    <w:p w14:paraId="0843E57D" w14:textId="77777777" w:rsidR="00A56C05" w:rsidRDefault="00A56C05" w:rsidP="00B36AD9">
      <w:pPr>
        <w:autoSpaceDE w:val="0"/>
        <w:ind w:firstLine="2268"/>
        <w:jc w:val="both"/>
        <w:rPr>
          <w:rFonts w:cs="Tahoma"/>
        </w:rPr>
      </w:pPr>
    </w:p>
    <w:p w14:paraId="2FC79B51" w14:textId="4356840A" w:rsidR="00A56C05" w:rsidRDefault="00A56C05" w:rsidP="00B36AD9">
      <w:pPr>
        <w:autoSpaceDE w:val="0"/>
        <w:ind w:firstLine="2268"/>
        <w:jc w:val="both"/>
        <w:rPr>
          <w:rFonts w:cs="Tahoma"/>
        </w:rPr>
      </w:pPr>
      <w:r w:rsidRPr="004111E2">
        <w:rPr>
          <w:rFonts w:cs="Tahoma"/>
        </w:rPr>
        <w:t xml:space="preserve">Parágrafo único. O repasse de que trata o </w:t>
      </w:r>
      <w:r w:rsidRPr="004111E2">
        <w:rPr>
          <w:rFonts w:cs="Tahoma"/>
          <w:i/>
          <w:iCs/>
        </w:rPr>
        <w:t xml:space="preserve">caput </w:t>
      </w:r>
      <w:r w:rsidRPr="004111E2">
        <w:rPr>
          <w:rFonts w:cs="Tahoma"/>
        </w:rPr>
        <w:t xml:space="preserve">deste artigo será realizado em </w:t>
      </w:r>
      <w:r w:rsidR="004111E2">
        <w:rPr>
          <w:rFonts w:cs="Tahoma"/>
        </w:rPr>
        <w:t>06</w:t>
      </w:r>
      <w:r w:rsidRPr="004111E2">
        <w:rPr>
          <w:rFonts w:cs="Tahoma"/>
        </w:rPr>
        <w:t xml:space="preserve"> (</w:t>
      </w:r>
      <w:r w:rsidR="004111E2">
        <w:rPr>
          <w:rFonts w:cs="Tahoma"/>
        </w:rPr>
        <w:t>seis)</w:t>
      </w:r>
      <w:r w:rsidRPr="004111E2">
        <w:rPr>
          <w:rFonts w:cs="Tahoma"/>
        </w:rPr>
        <w:t xml:space="preserve"> parcelas</w:t>
      </w:r>
      <w:r w:rsidR="004111E2">
        <w:rPr>
          <w:rFonts w:cs="Tahoma"/>
        </w:rPr>
        <w:t xml:space="preserve"> iguais</w:t>
      </w:r>
      <w:r w:rsidR="002274C4">
        <w:rPr>
          <w:rFonts w:cs="Tahoma"/>
        </w:rPr>
        <w:t>,</w:t>
      </w:r>
      <w:r w:rsidR="004111E2">
        <w:rPr>
          <w:rFonts w:cs="Tahoma"/>
        </w:rPr>
        <w:t xml:space="preserve"> </w:t>
      </w:r>
      <w:r w:rsidRPr="004111E2">
        <w:rPr>
          <w:rFonts w:cs="Tahoma"/>
        </w:rPr>
        <w:t xml:space="preserve">no valor de R$ </w:t>
      </w:r>
      <w:r w:rsidR="004111E2">
        <w:rPr>
          <w:rFonts w:cs="Tahoma"/>
        </w:rPr>
        <w:t xml:space="preserve">7.237,24 </w:t>
      </w:r>
      <w:r w:rsidRPr="004111E2">
        <w:rPr>
          <w:rFonts w:cs="Tahoma"/>
        </w:rPr>
        <w:t>(</w:t>
      </w:r>
      <w:r w:rsidR="004111E2">
        <w:rPr>
          <w:rFonts w:cs="Tahoma"/>
        </w:rPr>
        <w:t>sete mil, duzentos e trinta e sete reais e vinte e quatro centavos</w:t>
      </w:r>
      <w:r w:rsidRPr="004111E2">
        <w:rPr>
          <w:rFonts w:cs="Tahoma"/>
        </w:rPr>
        <w:t>)</w:t>
      </w:r>
      <w:r w:rsidR="004111E2">
        <w:rPr>
          <w:rFonts w:cs="Tahoma"/>
        </w:rPr>
        <w:t>, sendo a primeira</w:t>
      </w:r>
      <w:r w:rsidRPr="004111E2">
        <w:rPr>
          <w:rFonts w:cs="Tahoma"/>
        </w:rPr>
        <w:t xml:space="preserve"> no exercício de 2023 e as demais para o exercido de 2024.</w:t>
      </w:r>
    </w:p>
    <w:p w14:paraId="179E4107" w14:textId="77777777" w:rsidR="00AD17A1" w:rsidRDefault="000F0BD7" w:rsidP="00B36AD9">
      <w:pPr>
        <w:autoSpaceDE w:val="0"/>
        <w:ind w:firstLine="2268"/>
        <w:jc w:val="both"/>
        <w:rPr>
          <w:rFonts w:eastAsia="TimesNewRomanPSMT"/>
        </w:rPr>
      </w:pPr>
      <w:r w:rsidRPr="00E701BB">
        <w:rPr>
          <w:rFonts w:cs="Tahoma"/>
        </w:rPr>
        <w:t xml:space="preserve"> </w:t>
      </w:r>
    </w:p>
    <w:p w14:paraId="2D3171C6" w14:textId="77777777" w:rsidR="009F7D7D" w:rsidRPr="00E701BB" w:rsidRDefault="00071071" w:rsidP="00B36AD9">
      <w:pPr>
        <w:autoSpaceDE w:val="0"/>
        <w:ind w:firstLine="2268"/>
        <w:jc w:val="both"/>
      </w:pPr>
      <w:r w:rsidRPr="00E701BB">
        <w:rPr>
          <w:rFonts w:eastAsia="TimesNewRomanPSMT"/>
        </w:rPr>
        <w:t xml:space="preserve">Art. 2º </w:t>
      </w:r>
      <w:r w:rsidR="000F0BD7" w:rsidRPr="00E701BB">
        <w:rPr>
          <w:rFonts w:eastAsia="TimesNewRomanPSMT"/>
        </w:rPr>
        <w:t>A parceria com a</w:t>
      </w:r>
      <w:r w:rsidRPr="00E701BB">
        <w:rPr>
          <w:rFonts w:eastAsia="TimesNewRomanPSMT"/>
        </w:rPr>
        <w:t xml:space="preserve"> entidade subvencionada</w:t>
      </w:r>
      <w:r w:rsidR="00AD17A1" w:rsidRPr="00E701BB">
        <w:rPr>
          <w:rFonts w:eastAsia="TimesNewRomanPSMT"/>
        </w:rPr>
        <w:t xml:space="preserve"> </w:t>
      </w:r>
      <w:r w:rsidR="00E6101F" w:rsidRPr="00E701BB">
        <w:rPr>
          <w:rFonts w:eastAsia="TimesNewRomanPSMT"/>
        </w:rPr>
        <w:t>será</w:t>
      </w:r>
      <w:r w:rsidR="000F0BD7" w:rsidRPr="00E701BB">
        <w:rPr>
          <w:rFonts w:eastAsia="TimesNewRomanPSMT"/>
        </w:rPr>
        <w:t xml:space="preserve"> formalizada</w:t>
      </w:r>
      <w:r w:rsidR="009F7D7D" w:rsidRPr="00E701BB">
        <w:rPr>
          <w:rFonts w:eastAsia="TimesNewRomanPSMT"/>
        </w:rPr>
        <w:t xml:space="preserve"> em observância </w:t>
      </w:r>
      <w:r w:rsidR="009F7D7D" w:rsidRPr="00E701BB">
        <w:t>a Lei Federal nº 13.019/2014</w:t>
      </w:r>
      <w:r w:rsidR="00D262FD" w:rsidRPr="00E701BB">
        <w:t xml:space="preserve">, regulamentada no âmbito municipal pelo </w:t>
      </w:r>
      <w:r w:rsidR="009F7D7D" w:rsidRPr="00E701BB">
        <w:t>Decreto nº 5.586/2016</w:t>
      </w:r>
      <w:r w:rsidR="000F0BD7" w:rsidRPr="00E701BB">
        <w:t xml:space="preserve"> e alterações posteriores</w:t>
      </w:r>
      <w:r w:rsidR="009F7D7D" w:rsidRPr="00E701BB">
        <w:t>.</w:t>
      </w:r>
    </w:p>
    <w:p w14:paraId="5CE696AA" w14:textId="77777777" w:rsidR="009F7D7D" w:rsidRPr="00E701BB" w:rsidRDefault="009F7D7D" w:rsidP="00523698">
      <w:pPr>
        <w:autoSpaceDE w:val="0"/>
        <w:ind w:firstLine="2268"/>
        <w:jc w:val="both"/>
        <w:rPr>
          <w:rFonts w:eastAsia="TimesNewRomanPSMT"/>
        </w:rPr>
      </w:pPr>
    </w:p>
    <w:p w14:paraId="152EDA84" w14:textId="53B0B3CF" w:rsidR="00501187" w:rsidRPr="00523698" w:rsidRDefault="00071071" w:rsidP="00523698">
      <w:pPr>
        <w:ind w:firstLine="2268"/>
        <w:jc w:val="both"/>
      </w:pPr>
      <w:r w:rsidRPr="004111E2">
        <w:t xml:space="preserve">Art. 3º </w:t>
      </w:r>
      <w:r w:rsidR="00711402" w:rsidRPr="004111E2">
        <w:t>Fica autorizad</w:t>
      </w:r>
      <w:r w:rsidR="004111E2" w:rsidRPr="004111E2">
        <w:t>a</w:t>
      </w:r>
      <w:r w:rsidR="00711402" w:rsidRPr="004111E2">
        <w:t xml:space="preserve"> a abertura de </w:t>
      </w:r>
      <w:r w:rsidR="00F4446F" w:rsidRPr="004111E2">
        <w:t>crédito</w:t>
      </w:r>
      <w:r w:rsidR="00711402" w:rsidRPr="004111E2">
        <w:t xml:space="preserve"> adicional especial para inclusão da natureza de despesa 3.3.50.43 na dotação orçamentária da Secretaria Municipal de Esportes e Lazer </w:t>
      </w:r>
      <w:bookmarkStart w:id="0" w:name="_Hlk153372323"/>
      <w:r w:rsidR="00711402" w:rsidRPr="004111E2">
        <w:t xml:space="preserve">e aquela a esta correspondente no exercício subsequente: </w:t>
      </w:r>
      <w:bookmarkEnd w:id="0"/>
      <w:r w:rsidR="00711402" w:rsidRPr="004111E2">
        <w:t xml:space="preserve">14.01.27.812.2052.2557.3335043000000 com </w:t>
      </w:r>
      <w:r w:rsidR="00C06C04" w:rsidRPr="004111E2">
        <w:t xml:space="preserve">recursos </w:t>
      </w:r>
      <w:r w:rsidR="00613114" w:rsidRPr="004111E2">
        <w:t xml:space="preserve">do </w:t>
      </w:r>
      <w:r w:rsidR="0094395B" w:rsidRPr="004111E2">
        <w:t>tesouro municipal</w:t>
      </w:r>
      <w:r w:rsidR="00711402" w:rsidRPr="004111E2">
        <w:t xml:space="preserve"> na Fonte: 1.500.</w:t>
      </w:r>
    </w:p>
    <w:p w14:paraId="4181BCDD" w14:textId="77777777" w:rsidR="00F20255" w:rsidRPr="00523698" w:rsidRDefault="00501187" w:rsidP="00523698">
      <w:pPr>
        <w:ind w:firstLine="2268"/>
        <w:jc w:val="both"/>
      </w:pPr>
      <w:r w:rsidRPr="00523698">
        <w:t xml:space="preserve">Art. 4º </w:t>
      </w:r>
      <w:r w:rsidR="00F20255" w:rsidRPr="00523698">
        <w:t>Fica autorizado a reabertura deste crédito especial nos limites</w:t>
      </w:r>
      <w:r w:rsidRPr="00523698">
        <w:t xml:space="preserve"> </w:t>
      </w:r>
      <w:r w:rsidR="00F20255" w:rsidRPr="00523698">
        <w:t xml:space="preserve">dos seus saldos não utilizados, incorporando ao exercício financeiro subsequente nos termos do art.167, </w:t>
      </w:r>
      <w:r w:rsidRPr="00523698">
        <w:t xml:space="preserve">§2º, </w:t>
      </w:r>
      <w:r w:rsidR="00F20255" w:rsidRPr="00523698">
        <w:t xml:space="preserve">da CF/88 e art.45 da Lei Federal </w:t>
      </w:r>
      <w:r w:rsidR="00523698" w:rsidRPr="00523698">
        <w:t xml:space="preserve">nº </w:t>
      </w:r>
      <w:r w:rsidR="00F20255" w:rsidRPr="00523698">
        <w:t>4.320/64.</w:t>
      </w:r>
    </w:p>
    <w:p w14:paraId="29374BFE" w14:textId="77777777" w:rsidR="00F20255" w:rsidRPr="00523698" w:rsidRDefault="00F20255" w:rsidP="00523698">
      <w:pPr>
        <w:ind w:firstLine="2268"/>
        <w:jc w:val="both"/>
      </w:pPr>
    </w:p>
    <w:p w14:paraId="496B23B8" w14:textId="77777777" w:rsidR="00F20255" w:rsidRDefault="00F20255" w:rsidP="00501187">
      <w:pPr>
        <w:tabs>
          <w:tab w:val="left" w:pos="3765"/>
        </w:tabs>
        <w:ind w:firstLine="2268"/>
        <w:jc w:val="both"/>
      </w:pPr>
      <w:r>
        <w:t>A</w:t>
      </w:r>
      <w:r w:rsidRPr="003667D5">
        <w:t>rt.</w:t>
      </w:r>
      <w:r w:rsidR="00523698">
        <w:t xml:space="preserve"> 5º </w:t>
      </w:r>
      <w:r>
        <w:t>Para atender o objeto desta proposição os créditos serão anulados da seguinte dotação orçamentária conforme classificação abaixo:</w:t>
      </w:r>
    </w:p>
    <w:p w14:paraId="2E461885" w14:textId="77777777" w:rsidR="00F20255" w:rsidRDefault="00F20255" w:rsidP="00F20255">
      <w:pPr>
        <w:tabs>
          <w:tab w:val="left" w:pos="3765"/>
        </w:tabs>
        <w:ind w:firstLine="25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350"/>
        <w:gridCol w:w="2090"/>
      </w:tblGrid>
      <w:tr w:rsidR="00F20255" w:rsidRPr="00264367" w14:paraId="79B57F96" w14:textId="77777777" w:rsidTr="00061A11">
        <w:tc>
          <w:tcPr>
            <w:tcW w:w="2302" w:type="dxa"/>
            <w:shd w:val="clear" w:color="auto" w:fill="E7E6E6"/>
          </w:tcPr>
          <w:p w14:paraId="52277584" w14:textId="77777777" w:rsidR="00F20255" w:rsidRPr="00264367" w:rsidRDefault="00F20255" w:rsidP="00061A11">
            <w:pPr>
              <w:tabs>
                <w:tab w:val="left" w:pos="376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FICHA</w:t>
            </w:r>
          </w:p>
        </w:tc>
        <w:tc>
          <w:tcPr>
            <w:tcW w:w="4434" w:type="dxa"/>
            <w:shd w:val="clear" w:color="auto" w:fill="E7E6E6"/>
          </w:tcPr>
          <w:p w14:paraId="4ED42291" w14:textId="77777777" w:rsidR="00F20255" w:rsidRPr="00264367" w:rsidRDefault="00F20255" w:rsidP="00061A11">
            <w:pPr>
              <w:tabs>
                <w:tab w:val="left" w:pos="376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DOTAÇÃO</w:t>
            </w:r>
          </w:p>
        </w:tc>
        <w:tc>
          <w:tcPr>
            <w:tcW w:w="2303" w:type="dxa"/>
            <w:shd w:val="clear" w:color="auto" w:fill="E7E6E6"/>
          </w:tcPr>
          <w:p w14:paraId="3B3EF7CE" w14:textId="77777777" w:rsidR="00F20255" w:rsidRPr="00264367" w:rsidRDefault="00F20255" w:rsidP="00061A11">
            <w:pPr>
              <w:tabs>
                <w:tab w:val="left" w:pos="3765"/>
              </w:tabs>
              <w:jc w:val="both"/>
              <w:rPr>
                <w:b/>
                <w:bCs/>
              </w:rPr>
            </w:pPr>
            <w:r w:rsidRPr="00264367">
              <w:rPr>
                <w:b/>
                <w:bCs/>
              </w:rPr>
              <w:t>Valor</w:t>
            </w:r>
          </w:p>
        </w:tc>
      </w:tr>
      <w:tr w:rsidR="00F20255" w:rsidRPr="00264367" w14:paraId="0F4E8780" w14:textId="77777777" w:rsidTr="00061A11">
        <w:tc>
          <w:tcPr>
            <w:tcW w:w="2302" w:type="dxa"/>
            <w:shd w:val="clear" w:color="auto" w:fill="auto"/>
          </w:tcPr>
          <w:p w14:paraId="42EC90F5" w14:textId="77777777" w:rsidR="00F20255" w:rsidRPr="00264367" w:rsidRDefault="00F20255" w:rsidP="00061A11">
            <w:pPr>
              <w:tabs>
                <w:tab w:val="left" w:pos="3765"/>
              </w:tabs>
              <w:jc w:val="center"/>
            </w:pPr>
            <w:r>
              <w:t>30930</w:t>
            </w:r>
          </w:p>
        </w:tc>
        <w:tc>
          <w:tcPr>
            <w:tcW w:w="4434" w:type="dxa"/>
            <w:shd w:val="clear" w:color="auto" w:fill="auto"/>
          </w:tcPr>
          <w:p w14:paraId="0881DD66" w14:textId="77777777" w:rsidR="00F20255" w:rsidRPr="00264367" w:rsidRDefault="00F20255" w:rsidP="00061A11">
            <w:pPr>
              <w:tabs>
                <w:tab w:val="left" w:pos="3765"/>
              </w:tabs>
              <w:jc w:val="center"/>
            </w:pPr>
            <w:r>
              <w:t>14.1.27.122.2051.2550.31901100.1500</w:t>
            </w:r>
          </w:p>
        </w:tc>
        <w:tc>
          <w:tcPr>
            <w:tcW w:w="2303" w:type="dxa"/>
            <w:shd w:val="clear" w:color="auto" w:fill="auto"/>
          </w:tcPr>
          <w:p w14:paraId="79175616" w14:textId="77777777" w:rsidR="00F20255" w:rsidRPr="00264367" w:rsidRDefault="00F20255" w:rsidP="00061A11">
            <w:pPr>
              <w:tabs>
                <w:tab w:val="left" w:pos="3765"/>
              </w:tabs>
              <w:jc w:val="center"/>
            </w:pPr>
            <w:r>
              <w:t>43.423,44</w:t>
            </w:r>
          </w:p>
        </w:tc>
      </w:tr>
    </w:tbl>
    <w:p w14:paraId="52B0F691" w14:textId="77777777" w:rsidR="00F20255" w:rsidRDefault="00F20255" w:rsidP="00F20255"/>
    <w:p w14:paraId="69EFF3F0" w14:textId="77777777" w:rsidR="00071071" w:rsidRPr="00841074" w:rsidRDefault="00AD4ADC" w:rsidP="00B36AD9">
      <w:pPr>
        <w:autoSpaceDE w:val="0"/>
        <w:ind w:firstLine="2268"/>
        <w:jc w:val="both"/>
        <w:rPr>
          <w:rFonts w:eastAsia="TimesNewRomanPSMT"/>
        </w:rPr>
      </w:pPr>
      <w:r w:rsidRPr="000044F5">
        <w:rPr>
          <w:rFonts w:eastAsia="TimesNewRomanPSMT"/>
        </w:rPr>
        <w:t xml:space="preserve">Art. </w:t>
      </w:r>
      <w:r w:rsidR="00523698">
        <w:rPr>
          <w:rFonts w:eastAsia="TimesNewRomanPSMT"/>
        </w:rPr>
        <w:t>6</w:t>
      </w:r>
      <w:r w:rsidR="00B80BDB" w:rsidRPr="000044F5">
        <w:rPr>
          <w:rFonts w:eastAsia="TimesNewRomanPSMT"/>
        </w:rPr>
        <w:t xml:space="preserve">º </w:t>
      </w:r>
      <w:r w:rsidR="00071071" w:rsidRPr="000044F5">
        <w:rPr>
          <w:rFonts w:eastAsia="TimesNewRomanPSMT"/>
        </w:rPr>
        <w:t>Esta Lei entra em vigor na data de sua publicação</w:t>
      </w:r>
      <w:r w:rsidR="00EA7935">
        <w:rPr>
          <w:rFonts w:eastAsia="TimesNewRomanPSMT"/>
        </w:rPr>
        <w:t>.</w:t>
      </w:r>
    </w:p>
    <w:p w14:paraId="356E212B" w14:textId="77777777" w:rsidR="00071071" w:rsidRPr="00E701BB" w:rsidRDefault="00071071" w:rsidP="00B36AD9">
      <w:pPr>
        <w:autoSpaceDE w:val="0"/>
        <w:ind w:firstLine="2268"/>
        <w:jc w:val="both"/>
        <w:rPr>
          <w:rFonts w:eastAsia="TimesNewRomanPSMT"/>
        </w:rPr>
      </w:pPr>
    </w:p>
    <w:p w14:paraId="5CFB4670" w14:textId="77777777" w:rsidR="00071071" w:rsidRPr="00E701BB" w:rsidRDefault="00071071" w:rsidP="00B36AD9">
      <w:pPr>
        <w:autoSpaceDE w:val="0"/>
        <w:ind w:firstLine="2268"/>
        <w:jc w:val="both"/>
        <w:rPr>
          <w:rFonts w:eastAsia="TimesNewRomanPSMT"/>
        </w:rPr>
      </w:pPr>
      <w:r w:rsidRPr="00E701BB">
        <w:rPr>
          <w:rFonts w:eastAsia="TimesNewRomanPSMT"/>
        </w:rPr>
        <w:t xml:space="preserve">Prefeitura Municipal de Sete Lagoas, </w:t>
      </w:r>
      <w:r w:rsidR="0094395B">
        <w:rPr>
          <w:rFonts w:eastAsia="TimesNewRomanPSMT"/>
        </w:rPr>
        <w:t>1</w:t>
      </w:r>
      <w:r w:rsidR="00523698">
        <w:rPr>
          <w:rFonts w:eastAsia="TimesNewRomanPSMT"/>
        </w:rPr>
        <w:t>4</w:t>
      </w:r>
      <w:r w:rsidR="00352FAA">
        <w:rPr>
          <w:rFonts w:eastAsia="TimesNewRomanPSMT"/>
        </w:rPr>
        <w:t xml:space="preserve"> de</w:t>
      </w:r>
      <w:r w:rsidR="00C94F35">
        <w:rPr>
          <w:rFonts w:eastAsia="TimesNewRomanPSMT"/>
        </w:rPr>
        <w:t xml:space="preserve"> </w:t>
      </w:r>
      <w:r w:rsidR="0094395B">
        <w:rPr>
          <w:rFonts w:eastAsia="TimesNewRomanPSMT"/>
        </w:rPr>
        <w:t>dezembro</w:t>
      </w:r>
      <w:r w:rsidR="00352FAA">
        <w:rPr>
          <w:rFonts w:eastAsia="TimesNewRomanPSMT"/>
        </w:rPr>
        <w:t xml:space="preserve"> de 202</w:t>
      </w:r>
      <w:r w:rsidR="00C94F35">
        <w:rPr>
          <w:rFonts w:eastAsia="TimesNewRomanPSMT"/>
        </w:rPr>
        <w:t>3</w:t>
      </w:r>
      <w:r w:rsidRPr="00E701BB">
        <w:rPr>
          <w:rFonts w:eastAsia="TimesNewRomanPSMT"/>
        </w:rPr>
        <w:t>.</w:t>
      </w:r>
    </w:p>
    <w:p w14:paraId="2ECA0C08" w14:textId="77777777" w:rsidR="00062A82" w:rsidRPr="00E701BB" w:rsidRDefault="00062A82" w:rsidP="00B36AD9">
      <w:pPr>
        <w:autoSpaceDE w:val="0"/>
        <w:ind w:firstLine="2268"/>
        <w:jc w:val="both"/>
        <w:rPr>
          <w:rFonts w:eastAsia="TimesNewRomanPSMT"/>
        </w:rPr>
      </w:pPr>
    </w:p>
    <w:p w14:paraId="183C647A" w14:textId="77777777" w:rsidR="00071071" w:rsidRPr="00E701BB" w:rsidRDefault="00071071" w:rsidP="00B36AD9">
      <w:pPr>
        <w:autoSpaceDE w:val="0"/>
        <w:ind w:firstLine="2268"/>
        <w:jc w:val="both"/>
        <w:rPr>
          <w:rFonts w:eastAsia="TimesNewRomanPSMT"/>
        </w:rPr>
      </w:pPr>
    </w:p>
    <w:p w14:paraId="5FE7606E" w14:textId="77777777" w:rsidR="008009C4" w:rsidRPr="00A978D2" w:rsidRDefault="008009C4" w:rsidP="00B36AD9">
      <w:pPr>
        <w:tabs>
          <w:tab w:val="left" w:pos="1418"/>
          <w:tab w:val="left" w:pos="1701"/>
          <w:tab w:val="left" w:pos="2127"/>
        </w:tabs>
        <w:ind w:left="2268"/>
        <w:jc w:val="both"/>
      </w:pPr>
      <w:r w:rsidRPr="00A978D2">
        <w:rPr>
          <w:b/>
        </w:rPr>
        <w:t>DUÍLIO DE CASTRO FARIA</w:t>
      </w:r>
    </w:p>
    <w:p w14:paraId="4A6B3A12" w14:textId="77777777" w:rsidR="008009C4" w:rsidRPr="00A978D2" w:rsidRDefault="008009C4" w:rsidP="00B36AD9">
      <w:pPr>
        <w:tabs>
          <w:tab w:val="left" w:pos="1418"/>
          <w:tab w:val="left" w:pos="2127"/>
        </w:tabs>
        <w:ind w:left="2268"/>
        <w:jc w:val="both"/>
        <w:rPr>
          <w:b/>
          <w:lang w:bidi="pt-BR"/>
        </w:rPr>
      </w:pPr>
      <w:r w:rsidRPr="00A978D2">
        <w:t>Prefeito Municipal</w:t>
      </w:r>
    </w:p>
    <w:p w14:paraId="0E9FA3C7" w14:textId="77777777" w:rsidR="00071071" w:rsidRPr="00B80BDB" w:rsidRDefault="00071071" w:rsidP="00B36AD9">
      <w:pPr>
        <w:autoSpaceDE w:val="0"/>
        <w:ind w:firstLine="2268"/>
        <w:jc w:val="both"/>
        <w:rPr>
          <w:rFonts w:eastAsia="TimesNewRomanPS-BoldMT"/>
          <w:b/>
          <w:bCs/>
        </w:rPr>
      </w:pPr>
    </w:p>
    <w:p w14:paraId="1D5AB79A" w14:textId="77777777" w:rsidR="00071071" w:rsidRPr="00B80BDB" w:rsidRDefault="00071071" w:rsidP="00B36AD9">
      <w:pPr>
        <w:autoSpaceDE w:val="0"/>
        <w:ind w:firstLine="2268"/>
        <w:jc w:val="both"/>
        <w:rPr>
          <w:b/>
          <w:bCs/>
        </w:rPr>
      </w:pPr>
    </w:p>
    <w:p w14:paraId="24D0BCD4" w14:textId="77777777" w:rsidR="00071071" w:rsidRPr="00B80BDB" w:rsidRDefault="00071071" w:rsidP="003107BB">
      <w:pPr>
        <w:autoSpaceDE w:val="0"/>
        <w:jc w:val="both"/>
        <w:rPr>
          <w:b/>
          <w:bCs/>
        </w:rPr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071071" w:rsidRPr="00B80BDB" w14:paraId="467A5C37" w14:textId="77777777" w:rsidTr="00613114">
        <w:trPr>
          <w:trHeight w:val="1080"/>
        </w:trPr>
        <w:tc>
          <w:tcPr>
            <w:tcW w:w="1349" w:type="dxa"/>
            <w:vAlign w:val="center"/>
          </w:tcPr>
          <w:p w14:paraId="76E8D8DE" w14:textId="77777777" w:rsidR="00071071" w:rsidRPr="00B80BDB" w:rsidRDefault="004A09B9" w:rsidP="003107BB">
            <w:pPr>
              <w:snapToGrid w:val="0"/>
              <w:rPr>
                <w:color w:val="000080"/>
              </w:rPr>
            </w:pPr>
            <w:r w:rsidRPr="00B80BDB">
              <w:rPr>
                <w:noProof/>
                <w:color w:val="000080"/>
              </w:rPr>
              <w:drawing>
                <wp:anchor distT="0" distB="0" distL="114300" distR="114300" simplePos="0" relativeHeight="251657216" behindDoc="0" locked="0" layoutInCell="1" allowOverlap="1" wp14:anchorId="3A6004E6" wp14:editId="10A8CC84">
                  <wp:simplePos x="0" y="0"/>
                  <wp:positionH relativeFrom="margin">
                    <wp:posOffset>-19050</wp:posOffset>
                  </wp:positionH>
                  <wp:positionV relativeFrom="margin">
                    <wp:posOffset>-76200</wp:posOffset>
                  </wp:positionV>
                  <wp:extent cx="685800" cy="752475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vAlign w:val="center"/>
          </w:tcPr>
          <w:p w14:paraId="5DD4C444" w14:textId="77777777" w:rsidR="00071071" w:rsidRPr="00B80BDB" w:rsidRDefault="00071071" w:rsidP="003107BB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B80BDB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5F3078F4" w14:textId="77777777" w:rsidR="00B258B9" w:rsidRDefault="00B258B9" w:rsidP="003107BB">
      <w:pPr>
        <w:ind w:firstLine="2268"/>
        <w:rPr>
          <w:b/>
          <w:bCs/>
          <w:color w:val="000000"/>
          <w:lang w:bidi="pt-BR"/>
        </w:rPr>
      </w:pPr>
    </w:p>
    <w:p w14:paraId="619D13B6" w14:textId="77777777" w:rsidR="00071071" w:rsidRPr="00B258B9" w:rsidRDefault="00D262FD" w:rsidP="003107BB">
      <w:pPr>
        <w:ind w:firstLine="2268"/>
        <w:rPr>
          <w:b/>
          <w:bCs/>
          <w:color w:val="000000"/>
          <w:lang w:bidi="pt-BR"/>
        </w:rPr>
      </w:pPr>
      <w:r w:rsidRPr="00B258B9">
        <w:rPr>
          <w:b/>
          <w:bCs/>
          <w:color w:val="000000"/>
          <w:lang w:bidi="pt-BR"/>
        </w:rPr>
        <w:t xml:space="preserve">MENSAGEM </w:t>
      </w:r>
      <w:r w:rsidR="004415D7" w:rsidRPr="00B258B9">
        <w:rPr>
          <w:rFonts w:eastAsia="TimesNewRomanPS-BoldMT"/>
          <w:b/>
          <w:bCs/>
        </w:rPr>
        <w:t xml:space="preserve">Nº </w:t>
      </w:r>
      <w:r w:rsidR="00CF74D0" w:rsidRPr="00B258B9">
        <w:rPr>
          <w:rFonts w:eastAsia="TimesNewRomanPS-BoldMT"/>
          <w:b/>
          <w:bCs/>
        </w:rPr>
        <w:t xml:space="preserve">         </w:t>
      </w:r>
      <w:r w:rsidR="008A0C93" w:rsidRPr="00B258B9">
        <w:rPr>
          <w:rFonts w:eastAsia="TimesNewRomanPS-BoldMT"/>
          <w:b/>
          <w:bCs/>
        </w:rPr>
        <w:t>/202</w:t>
      </w:r>
      <w:r w:rsidR="00C94F35" w:rsidRPr="00B258B9">
        <w:rPr>
          <w:rFonts w:eastAsia="TimesNewRomanPS-BoldMT"/>
          <w:b/>
          <w:bCs/>
        </w:rPr>
        <w:t>3</w:t>
      </w:r>
      <w:r w:rsidR="00071071" w:rsidRPr="00B258B9">
        <w:rPr>
          <w:b/>
          <w:bCs/>
          <w:color w:val="000000"/>
          <w:lang w:bidi="pt-BR"/>
        </w:rPr>
        <w:t>.</w:t>
      </w:r>
    </w:p>
    <w:p w14:paraId="620A1C9C" w14:textId="77777777" w:rsidR="00071071" w:rsidRPr="00B258B9" w:rsidRDefault="00071071" w:rsidP="003107BB">
      <w:pPr>
        <w:ind w:firstLine="2268"/>
        <w:jc w:val="both"/>
        <w:rPr>
          <w:b/>
          <w:bCs/>
          <w:lang w:bidi="pt-BR"/>
        </w:rPr>
      </w:pPr>
    </w:p>
    <w:p w14:paraId="5A684632" w14:textId="0E1E8164" w:rsidR="004111E2" w:rsidRDefault="004111E2" w:rsidP="004111E2">
      <w:pPr>
        <w:autoSpaceDE w:val="0"/>
        <w:ind w:left="2268"/>
        <w:jc w:val="both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 xml:space="preserve">DISPÕE SOBRE AUTORIZAÇÃO PARA </w:t>
      </w:r>
      <w:r w:rsidRPr="00711402">
        <w:rPr>
          <w:rFonts w:eastAsia="TimesNewRomanPS-BoldMT"/>
          <w:b/>
          <w:bCs/>
        </w:rPr>
        <w:t xml:space="preserve">CONCEDER TRANSFERÊNCIA DE RECURSOS NA MODALIDADE </w:t>
      </w:r>
      <w:r>
        <w:rPr>
          <w:rFonts w:eastAsia="TimesNewRomanPS-BoldMT"/>
          <w:b/>
          <w:bCs/>
        </w:rPr>
        <w:t xml:space="preserve">SUBVENÇÃO </w:t>
      </w:r>
      <w:r w:rsidR="002274C4">
        <w:rPr>
          <w:rFonts w:eastAsia="TimesNewRomanPS-BoldMT"/>
          <w:b/>
          <w:bCs/>
        </w:rPr>
        <w:t>À</w:t>
      </w:r>
      <w:r w:rsidRPr="00711402">
        <w:rPr>
          <w:rFonts w:eastAsia="TimesNewRomanPS-BoldMT"/>
          <w:b/>
          <w:bCs/>
        </w:rPr>
        <w:t xml:space="preserve"> </w:t>
      </w:r>
      <w:r w:rsidRPr="00615F4A">
        <w:rPr>
          <w:rFonts w:eastAsia="TimesNewRomanPS-BoldMT"/>
          <w:b/>
          <w:bCs/>
          <w:lang w:bidi="pt-BR"/>
        </w:rPr>
        <w:t>LIGA ECLÉTICA DESPORTIVA SETELAGOANA</w:t>
      </w:r>
      <w:r>
        <w:rPr>
          <w:rFonts w:eastAsia="TimesNewRomanPS-BoldMT"/>
          <w:b/>
          <w:bCs/>
          <w:lang w:bidi="pt-BR"/>
        </w:rPr>
        <w:t xml:space="preserve">, </w:t>
      </w:r>
      <w:r w:rsidRPr="004111E2">
        <w:rPr>
          <w:rFonts w:eastAsia="TimesNewRomanPS-BoldMT"/>
          <w:b/>
          <w:bCs/>
          <w:lang w:bidi="pt-BR"/>
        </w:rPr>
        <w:t xml:space="preserve">ABRIR </w:t>
      </w:r>
      <w:r w:rsidRPr="004111E2">
        <w:rPr>
          <w:rFonts w:eastAsia="TimesNewRomanPS-BoldMT"/>
          <w:b/>
          <w:bCs/>
        </w:rPr>
        <w:t>CR</w:t>
      </w:r>
      <w:r>
        <w:rPr>
          <w:rFonts w:eastAsia="TimesNewRomanPS-BoldMT"/>
          <w:b/>
          <w:bCs/>
        </w:rPr>
        <w:t>É</w:t>
      </w:r>
      <w:r w:rsidRPr="004111E2">
        <w:rPr>
          <w:rFonts w:eastAsia="TimesNewRomanPS-BoldMT"/>
          <w:b/>
          <w:bCs/>
        </w:rPr>
        <w:t xml:space="preserve">DITO ESPECIAL E </w:t>
      </w:r>
      <w:r w:rsidRPr="004111E2">
        <w:rPr>
          <w:rFonts w:eastAsia="TimesNewRomanPS-BoldMT"/>
          <w:b/>
          <w:bCs/>
          <w:lang w:bidi="pt-BR"/>
        </w:rPr>
        <w:t xml:space="preserve">DÁ </w:t>
      </w:r>
      <w:r w:rsidRPr="004111E2">
        <w:rPr>
          <w:rFonts w:eastAsia="TimesNewRomanPS-BoldMT"/>
          <w:b/>
          <w:bCs/>
        </w:rPr>
        <w:t>OUTRAS PROVIDENCIAS.</w:t>
      </w:r>
    </w:p>
    <w:p w14:paraId="2903A895" w14:textId="77777777" w:rsidR="004111E2" w:rsidRDefault="004111E2" w:rsidP="003107BB">
      <w:pPr>
        <w:ind w:firstLine="2268"/>
        <w:jc w:val="both"/>
        <w:rPr>
          <w:color w:val="000000"/>
          <w:lang w:bidi="pt-BR"/>
        </w:rPr>
      </w:pPr>
    </w:p>
    <w:p w14:paraId="06E450FD" w14:textId="4B0C1162" w:rsidR="00071071" w:rsidRPr="00B258B9" w:rsidRDefault="00071071" w:rsidP="003107BB">
      <w:pPr>
        <w:ind w:firstLine="2268"/>
        <w:jc w:val="both"/>
        <w:rPr>
          <w:color w:val="000000"/>
          <w:lang w:bidi="pt-BR"/>
        </w:rPr>
      </w:pPr>
      <w:r w:rsidRPr="00B258B9">
        <w:rPr>
          <w:color w:val="000000"/>
          <w:lang w:bidi="pt-BR"/>
        </w:rPr>
        <w:t>Senhor Presidente,</w:t>
      </w:r>
    </w:p>
    <w:p w14:paraId="0003B15C" w14:textId="77777777" w:rsidR="00071071" w:rsidRPr="00B258B9" w:rsidRDefault="00071071" w:rsidP="003107BB">
      <w:pPr>
        <w:ind w:firstLine="2268"/>
        <w:jc w:val="both"/>
        <w:rPr>
          <w:color w:val="000000"/>
          <w:lang w:bidi="pt-BR"/>
        </w:rPr>
      </w:pPr>
      <w:r w:rsidRPr="00B258B9">
        <w:rPr>
          <w:color w:val="000000"/>
          <w:lang w:bidi="pt-BR"/>
        </w:rPr>
        <w:t>Senhores Vereadores,</w:t>
      </w:r>
    </w:p>
    <w:p w14:paraId="28B7D9C9" w14:textId="77777777" w:rsidR="00071071" w:rsidRPr="00B258B9" w:rsidRDefault="00071071" w:rsidP="003107BB">
      <w:pPr>
        <w:ind w:firstLine="2268"/>
        <w:jc w:val="both"/>
        <w:rPr>
          <w:color w:val="000000"/>
          <w:lang w:bidi="pt-BR"/>
        </w:rPr>
      </w:pPr>
    </w:p>
    <w:p w14:paraId="302AB2D0" w14:textId="77777777" w:rsidR="007F44B0" w:rsidRPr="00B258B9" w:rsidRDefault="00071071" w:rsidP="007F44B0">
      <w:pPr>
        <w:ind w:firstLine="2268"/>
        <w:jc w:val="both"/>
        <w:rPr>
          <w:bCs/>
        </w:rPr>
      </w:pPr>
      <w:r w:rsidRPr="00B258B9">
        <w:rPr>
          <w:color w:val="000000"/>
          <w:lang w:bidi="pt-BR"/>
        </w:rPr>
        <w:t>A proposição de Lei que a esta se acosta, pretende a autorização legislativa para o Município de Sete Lagoas conceder subvenção social à</w:t>
      </w:r>
      <w:r w:rsidR="000F0BD7" w:rsidRPr="00B258B9">
        <w:rPr>
          <w:rFonts w:eastAsia="TimesNewRomanPSMT"/>
        </w:rPr>
        <w:t xml:space="preserve"> </w:t>
      </w:r>
      <w:r w:rsidR="00615F4A" w:rsidRPr="00B258B9">
        <w:rPr>
          <w:bCs/>
        </w:rPr>
        <w:t xml:space="preserve">Liga Eclética Desportiva </w:t>
      </w:r>
      <w:proofErr w:type="spellStart"/>
      <w:r w:rsidR="00615F4A" w:rsidRPr="00B258B9">
        <w:rPr>
          <w:bCs/>
        </w:rPr>
        <w:t>Setelagoana</w:t>
      </w:r>
      <w:proofErr w:type="spellEnd"/>
      <w:r w:rsidR="00615F4A" w:rsidRPr="00B258B9">
        <w:rPr>
          <w:bCs/>
        </w:rPr>
        <w:t>.</w:t>
      </w:r>
    </w:p>
    <w:p w14:paraId="711A9F1A" w14:textId="77777777" w:rsidR="00615F4A" w:rsidRPr="00B258B9" w:rsidRDefault="00615F4A" w:rsidP="007F44B0">
      <w:pPr>
        <w:ind w:firstLine="2268"/>
        <w:jc w:val="both"/>
        <w:rPr>
          <w:color w:val="000000"/>
          <w:lang w:bidi="pt-BR"/>
        </w:rPr>
      </w:pPr>
    </w:p>
    <w:p w14:paraId="2556A038" w14:textId="77777777" w:rsidR="00096C31" w:rsidRPr="00B258B9" w:rsidRDefault="00096C31" w:rsidP="003107BB">
      <w:pPr>
        <w:ind w:firstLine="2268"/>
        <w:jc w:val="both"/>
        <w:rPr>
          <w:rFonts w:eastAsia="Times New Roman"/>
          <w:color w:val="000000"/>
          <w:lang w:eastAsia="ar-SA"/>
        </w:rPr>
      </w:pPr>
      <w:r w:rsidRPr="00B258B9">
        <w:rPr>
          <w:rFonts w:eastAsia="Times New Roman"/>
          <w:color w:val="000000"/>
          <w:lang w:eastAsia="ar-SA"/>
        </w:rPr>
        <w:t>Inicialmente saliento que, com o advento da Lei Federal nº 13.019/2014, regulamentada no âmbito do Município pelo Decreto nº 5.586/2016, novos instrumentos deverão ser celebrados com as entidades ora subvencionadas, por meio de Termos de Colaboração, observando a nova legislação sobre o tema</w:t>
      </w:r>
      <w:r w:rsidR="006E3BC0" w:rsidRPr="00B258B9">
        <w:rPr>
          <w:rFonts w:eastAsia="Times New Roman"/>
          <w:color w:val="000000"/>
          <w:lang w:eastAsia="ar-SA"/>
        </w:rPr>
        <w:t>.</w:t>
      </w:r>
    </w:p>
    <w:p w14:paraId="074D58A4" w14:textId="77777777" w:rsidR="00096C31" w:rsidRPr="00B258B9" w:rsidRDefault="00096C31" w:rsidP="003107BB">
      <w:pPr>
        <w:ind w:firstLine="2268"/>
        <w:jc w:val="both"/>
        <w:rPr>
          <w:rFonts w:eastAsia="Times New Roman"/>
          <w:color w:val="000000"/>
          <w:lang w:eastAsia="ar-SA"/>
        </w:rPr>
      </w:pPr>
    </w:p>
    <w:p w14:paraId="3D4E4C51" w14:textId="77777777" w:rsidR="00F3305B" w:rsidRPr="00B258B9" w:rsidRDefault="00F3305B" w:rsidP="003107BB">
      <w:pPr>
        <w:ind w:firstLine="2268"/>
        <w:jc w:val="both"/>
        <w:rPr>
          <w:b/>
        </w:rPr>
      </w:pPr>
      <w:r w:rsidRPr="00B258B9">
        <w:rPr>
          <w:rStyle w:val="Forte"/>
          <w:b w:val="0"/>
        </w:rPr>
        <w:t xml:space="preserve">De acordo com o artigo 12 do referido Decreto, o Termo de Colaboração é o instrumento pelo qual são formalizadas as parcerias com Organizações da Sociedade Civil </w:t>
      </w:r>
      <w:r w:rsidR="00F23FC3" w:rsidRPr="00B258B9">
        <w:rPr>
          <w:rStyle w:val="Forte"/>
          <w:b w:val="0"/>
        </w:rPr>
        <w:t xml:space="preserve">– </w:t>
      </w:r>
      <w:proofErr w:type="spellStart"/>
      <w:r w:rsidR="00F23FC3" w:rsidRPr="00B258B9">
        <w:rPr>
          <w:rStyle w:val="Forte"/>
          <w:b w:val="0"/>
        </w:rPr>
        <w:t>OSC’</w:t>
      </w:r>
      <w:r w:rsidRPr="00B258B9">
        <w:rPr>
          <w:rStyle w:val="Forte"/>
          <w:b w:val="0"/>
        </w:rPr>
        <w:t>s</w:t>
      </w:r>
      <w:proofErr w:type="spellEnd"/>
      <w:r w:rsidRPr="00B258B9">
        <w:rPr>
          <w:rStyle w:val="Forte"/>
          <w:b w:val="0"/>
        </w:rPr>
        <w:t>, selecionadas por meio de chamamento público, exceto nos casos de dispensa ou inexigibilidade, para execução de políticas públicas de natureza continuada ou não, em regime de mútua cooperação, para a implementação de ações com padrões mínimos previamente definidos pela Administração Pública Municipal, observando-se os programas ou plano setorial da área correspondente, quando houver.</w:t>
      </w:r>
    </w:p>
    <w:p w14:paraId="7FD296DD" w14:textId="77777777" w:rsidR="00E701BB" w:rsidRPr="00B258B9" w:rsidRDefault="00E701BB" w:rsidP="003107BB">
      <w:pPr>
        <w:ind w:firstLine="2268"/>
        <w:jc w:val="both"/>
        <w:rPr>
          <w:rStyle w:val="label"/>
          <w:bCs/>
        </w:rPr>
      </w:pPr>
    </w:p>
    <w:p w14:paraId="4CF29B83" w14:textId="77777777" w:rsidR="00F3305B" w:rsidRPr="00B258B9" w:rsidRDefault="00F3305B" w:rsidP="003107BB">
      <w:pPr>
        <w:ind w:firstLine="2268"/>
        <w:jc w:val="both"/>
        <w:rPr>
          <w:rStyle w:val="label"/>
          <w:bCs/>
        </w:rPr>
      </w:pPr>
      <w:r w:rsidRPr="00B258B9">
        <w:rPr>
          <w:rStyle w:val="label"/>
          <w:bCs/>
        </w:rPr>
        <w:t xml:space="preserve">Para tanto, deve-se considerar o disposto na Seção VI do Capítulo V do mencionado Decreto, que prevê que a Administração Pública poderá </w:t>
      </w:r>
      <w:proofErr w:type="spellStart"/>
      <w:r w:rsidRPr="00B258B9">
        <w:rPr>
          <w:rStyle w:val="label"/>
          <w:bCs/>
        </w:rPr>
        <w:t>inexigir</w:t>
      </w:r>
      <w:proofErr w:type="spellEnd"/>
      <w:r w:rsidRPr="00B258B9">
        <w:rPr>
          <w:rStyle w:val="label"/>
          <w:bCs/>
        </w:rPr>
        <w:t xml:space="preserve"> ou dispensar o </w:t>
      </w:r>
      <w:r w:rsidR="00811FAD" w:rsidRPr="00B258B9">
        <w:rPr>
          <w:rStyle w:val="label"/>
          <w:bCs/>
        </w:rPr>
        <w:t>chamamento público</w:t>
      </w:r>
      <w:r w:rsidRPr="00B258B9">
        <w:rPr>
          <w:rStyle w:val="label"/>
          <w:bCs/>
        </w:rPr>
        <w:t xml:space="preserve"> para celebração de parcerias com as Organizações da Sociedade Civil. Vejamos:</w:t>
      </w:r>
      <w:r w:rsidR="00F37885" w:rsidRPr="00B258B9">
        <w:rPr>
          <w:rStyle w:val="label"/>
          <w:bCs/>
        </w:rPr>
        <w:t xml:space="preserve"> </w:t>
      </w:r>
    </w:p>
    <w:p w14:paraId="1244DAEB" w14:textId="77777777" w:rsidR="003107BB" w:rsidRPr="005501CC" w:rsidRDefault="003107BB" w:rsidP="003107BB">
      <w:pPr>
        <w:ind w:firstLine="2268"/>
        <w:jc w:val="both"/>
        <w:rPr>
          <w:rStyle w:val="label"/>
          <w:bCs/>
          <w:sz w:val="23"/>
          <w:szCs w:val="23"/>
        </w:rPr>
      </w:pPr>
    </w:p>
    <w:p w14:paraId="768F132E" w14:textId="77777777" w:rsidR="00F3305B" w:rsidRPr="00301240" w:rsidRDefault="00F3305B" w:rsidP="003107BB">
      <w:pPr>
        <w:widowControl/>
        <w:suppressAutoHyphens w:val="0"/>
        <w:ind w:left="2268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>Seção VI</w:t>
      </w:r>
      <w:r w:rsidRPr="00301240">
        <w:rPr>
          <w:rFonts w:eastAsia="Times New Roman"/>
          <w:bCs/>
          <w:i/>
          <w:kern w:val="0"/>
          <w:sz w:val="19"/>
          <w:szCs w:val="19"/>
        </w:rPr>
        <w:br/>
        <w:t>Da dispensa e inexigibilidade do Chamamento Público</w:t>
      </w:r>
    </w:p>
    <w:p w14:paraId="69DFB32F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  <w:u w:val="single"/>
        </w:rPr>
      </w:pPr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Art. 39 A Administração Pública Municipal, desde que atendido o disposto no art. 24 e no § 1º do art. 37 deste Decreto, poderá dispensar a realização do Chamamento Público:</w:t>
      </w:r>
    </w:p>
    <w:p w14:paraId="45EA0C6F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>I - no caso de urgência decorrente de paralisação ou iminência de paralisação de atividades de relevante interesse público, pelo prazo de até cento e oitenta dias;</w:t>
      </w:r>
    </w:p>
    <w:p w14:paraId="3EEBC98D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>II - nos casos de guerra, calamidade pública, grave perturbação da ordem pública ou ameaça à paz social;</w:t>
      </w:r>
    </w:p>
    <w:p w14:paraId="76A00E25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>III - quando se tratar da realização de programa de proteção a pessoas ameaçadas ou em situação que possa comprometer a sua segurança;</w:t>
      </w:r>
    </w:p>
    <w:p w14:paraId="754B9F2B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  <w:u w:val="single"/>
        </w:rPr>
      </w:pPr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 xml:space="preserve">IV - no caso de atividades voltadas ou vinculadas a serviços de educação, saúde e assistência social, desde que executadas por </w:t>
      </w:r>
      <w:proofErr w:type="spellStart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OSC</w:t>
      </w:r>
      <w:r w:rsidR="005C3587" w:rsidRPr="00301240">
        <w:rPr>
          <w:rFonts w:eastAsia="Times New Roman"/>
          <w:bCs/>
          <w:i/>
          <w:kern w:val="0"/>
          <w:sz w:val="19"/>
          <w:szCs w:val="19"/>
          <w:u w:val="single"/>
        </w:rPr>
        <w:t>’</w:t>
      </w:r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s</w:t>
      </w:r>
      <w:proofErr w:type="spellEnd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 xml:space="preserve"> previamente credenciadas pelo órgão gestor da respectiva política.</w:t>
      </w:r>
    </w:p>
    <w:p w14:paraId="71262D07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 xml:space="preserve">Parágrafo único. O credenciamento a que se refere o inciso IV deste artigo, dar-se-á por meio da inscrição no conselho municipal de políticas públicas das áreas correspondentes de atuação, sem prejuízo das definições e parâmetros </w:t>
      </w:r>
      <w:r w:rsidRPr="00301240">
        <w:rPr>
          <w:rFonts w:eastAsia="Times New Roman"/>
          <w:bCs/>
          <w:i/>
          <w:kern w:val="0"/>
          <w:sz w:val="19"/>
          <w:szCs w:val="19"/>
        </w:rPr>
        <w:lastRenderedPageBreak/>
        <w:t>estabelecidos pelos órgãos competentes.</w:t>
      </w:r>
    </w:p>
    <w:p w14:paraId="609A61D9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  <w:u w:val="single"/>
        </w:rPr>
      </w:pPr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 xml:space="preserve">Art. 40 A Administração Pública Municipal, desde que atendido o disposto no art. 24 e no § 1º do art. 37 deste Decreto, poderá </w:t>
      </w:r>
      <w:proofErr w:type="spellStart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inexigir</w:t>
      </w:r>
      <w:proofErr w:type="spellEnd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 xml:space="preserve"> ou dispensar o Chamamento Público na hipótese de inviabilidade de competição entre as </w:t>
      </w:r>
      <w:proofErr w:type="spellStart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OSC</w:t>
      </w:r>
      <w:r w:rsidR="005C3587" w:rsidRPr="00301240">
        <w:rPr>
          <w:rFonts w:eastAsia="Times New Roman"/>
          <w:bCs/>
          <w:i/>
          <w:kern w:val="0"/>
          <w:sz w:val="19"/>
          <w:szCs w:val="19"/>
          <w:u w:val="single"/>
        </w:rPr>
        <w:t>’</w:t>
      </w:r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s</w:t>
      </w:r>
      <w:proofErr w:type="spellEnd"/>
      <w:r w:rsidRPr="00301240">
        <w:rPr>
          <w:rFonts w:eastAsia="Times New Roman"/>
          <w:bCs/>
          <w:i/>
          <w:kern w:val="0"/>
          <w:sz w:val="19"/>
          <w:szCs w:val="19"/>
          <w:u w:val="single"/>
        </w:rPr>
        <w:t>, em razão da natureza singular do objeto da parceria ou quando as metas somente puderem ser atingidas por uma entidade específica, especialmente quando:</w:t>
      </w:r>
    </w:p>
    <w:p w14:paraId="1DA8A8DC" w14:textId="77777777" w:rsidR="00F3305B" w:rsidRPr="00301240" w:rsidRDefault="00F3305B" w:rsidP="003107BB">
      <w:pPr>
        <w:ind w:left="2268"/>
        <w:jc w:val="both"/>
        <w:rPr>
          <w:rFonts w:eastAsia="Times New Roman"/>
          <w:bCs/>
          <w:i/>
          <w:kern w:val="0"/>
          <w:sz w:val="19"/>
          <w:szCs w:val="19"/>
        </w:rPr>
      </w:pPr>
      <w:r w:rsidRPr="00301240">
        <w:rPr>
          <w:rFonts w:eastAsia="Times New Roman"/>
          <w:bCs/>
          <w:i/>
          <w:kern w:val="0"/>
          <w:sz w:val="19"/>
          <w:szCs w:val="19"/>
        </w:rPr>
        <w:t xml:space="preserve">I - </w:t>
      </w:r>
      <w:proofErr w:type="gramStart"/>
      <w:r w:rsidRPr="00301240">
        <w:rPr>
          <w:rFonts w:eastAsia="Times New Roman"/>
          <w:bCs/>
          <w:i/>
          <w:kern w:val="0"/>
          <w:sz w:val="19"/>
          <w:szCs w:val="19"/>
        </w:rPr>
        <w:t>o</w:t>
      </w:r>
      <w:proofErr w:type="gramEnd"/>
      <w:r w:rsidRPr="00301240">
        <w:rPr>
          <w:rFonts w:eastAsia="Times New Roman"/>
          <w:bCs/>
          <w:i/>
          <w:kern w:val="0"/>
          <w:sz w:val="19"/>
          <w:szCs w:val="19"/>
        </w:rPr>
        <w:t xml:space="preserve"> objeto da parceria constituir incumbência prevista em acordo, ato ou compromisso internacional, no qual sejam indicadas as instituições que utilizarão os recursos;</w:t>
      </w:r>
    </w:p>
    <w:p w14:paraId="6A62D065" w14:textId="77777777" w:rsidR="00F3305B" w:rsidRPr="00301240" w:rsidRDefault="00F3305B" w:rsidP="003107BB">
      <w:pPr>
        <w:ind w:left="2268"/>
        <w:jc w:val="both"/>
        <w:rPr>
          <w:rFonts w:eastAsia="Times New Roman"/>
          <w:b/>
          <w:bCs/>
          <w:i/>
          <w:kern w:val="0"/>
          <w:sz w:val="19"/>
          <w:szCs w:val="19"/>
          <w:u w:val="single"/>
        </w:rPr>
      </w:pPr>
      <w:r w:rsidRPr="00301240">
        <w:rPr>
          <w:rFonts w:eastAsia="Times New Roman"/>
          <w:b/>
          <w:bCs/>
          <w:i/>
          <w:kern w:val="0"/>
          <w:sz w:val="19"/>
          <w:szCs w:val="19"/>
          <w:u w:val="single"/>
        </w:rPr>
        <w:t>II - a parceria decorrer de transferência para OSC que esteja autorizada em lei na qual seja identificada expressamente a entidade beneficiária, inclusive quando se tratar da subvenção prevista no inciso I do § 3º do art. 12 da Lei Federal nº 4.320, de 17 de março de 1964, observado o disposto no art. 26 da Lei Complementar nº 101, de 04 de maio de 2000.</w:t>
      </w:r>
    </w:p>
    <w:p w14:paraId="6BE18FAD" w14:textId="77777777" w:rsidR="00F3305B" w:rsidRPr="00811FAD" w:rsidRDefault="00F3305B" w:rsidP="003107BB">
      <w:pPr>
        <w:ind w:firstLine="2268"/>
        <w:jc w:val="both"/>
        <w:rPr>
          <w:rFonts w:eastAsia="Times New Roman"/>
          <w:bCs/>
          <w:kern w:val="0"/>
        </w:rPr>
      </w:pPr>
    </w:p>
    <w:p w14:paraId="4751C9A5" w14:textId="77777777" w:rsidR="00A4645E" w:rsidRPr="00B258B9" w:rsidRDefault="00A4645E" w:rsidP="003107BB">
      <w:pPr>
        <w:ind w:firstLine="2268"/>
        <w:jc w:val="both"/>
        <w:rPr>
          <w:rStyle w:val="Forte"/>
          <w:b w:val="0"/>
        </w:rPr>
      </w:pPr>
      <w:r w:rsidRPr="00B258B9">
        <w:rPr>
          <w:rStyle w:val="Forte"/>
          <w:b w:val="0"/>
        </w:rPr>
        <w:t>Cumpre esclarecer que a dispensa e a inexigibilidade de chamamento público não afastam a aplicação dos demais dispositivos do Decreto nº 5.586/2016.</w:t>
      </w:r>
    </w:p>
    <w:p w14:paraId="27B1AB11" w14:textId="77777777" w:rsidR="003107BB" w:rsidRPr="00B258B9" w:rsidRDefault="003107BB" w:rsidP="003107BB">
      <w:pPr>
        <w:ind w:firstLine="2268"/>
        <w:jc w:val="both"/>
        <w:rPr>
          <w:rStyle w:val="Forte"/>
          <w:b w:val="0"/>
        </w:rPr>
      </w:pPr>
    </w:p>
    <w:p w14:paraId="65FC62C5" w14:textId="77777777" w:rsidR="00615F4A" w:rsidRPr="00B258B9" w:rsidRDefault="003C6E84" w:rsidP="00615F4A">
      <w:pPr>
        <w:ind w:firstLine="2268"/>
        <w:jc w:val="both"/>
        <w:rPr>
          <w:bCs/>
          <w:kern w:val="36"/>
        </w:rPr>
      </w:pPr>
      <w:r w:rsidRPr="00B258B9">
        <w:rPr>
          <w:rFonts w:eastAsia="Times New Roman"/>
          <w:bCs/>
          <w:kern w:val="0"/>
        </w:rPr>
        <w:t xml:space="preserve">Ressalta-se que a </w:t>
      </w:r>
      <w:r w:rsidR="00615F4A" w:rsidRPr="00B258B9">
        <w:rPr>
          <w:bCs/>
        </w:rPr>
        <w:t xml:space="preserve">Liga Eclética Desportiva </w:t>
      </w:r>
      <w:proofErr w:type="spellStart"/>
      <w:r w:rsidR="00615F4A" w:rsidRPr="00B258B9">
        <w:rPr>
          <w:bCs/>
        </w:rPr>
        <w:t>Setelagoana</w:t>
      </w:r>
      <w:proofErr w:type="spellEnd"/>
      <w:r w:rsidR="00615F4A" w:rsidRPr="00B258B9">
        <w:rPr>
          <w:bCs/>
        </w:rPr>
        <w:t xml:space="preserve"> </w:t>
      </w:r>
      <w:r w:rsidR="00516E83" w:rsidRPr="00B258B9">
        <w:rPr>
          <w:rFonts w:eastAsia="Times New Roman"/>
          <w:bCs/>
          <w:kern w:val="0"/>
        </w:rPr>
        <w:t>é uma Organização da Sociedade Civil</w:t>
      </w:r>
      <w:r w:rsidR="00180116" w:rsidRPr="00B258B9">
        <w:rPr>
          <w:rFonts w:eastAsia="Times New Roman"/>
          <w:bCs/>
          <w:kern w:val="0"/>
        </w:rPr>
        <w:t xml:space="preserve"> inscrita no </w:t>
      </w:r>
      <w:r w:rsidR="00615F4A" w:rsidRPr="00B258B9">
        <w:t>Conselho Municipal de Esportes e Lazer</w:t>
      </w:r>
      <w:r w:rsidR="00615F4A" w:rsidRPr="00B258B9">
        <w:rPr>
          <w:rFonts w:eastAsia="Times New Roman"/>
          <w:bCs/>
          <w:kern w:val="0"/>
        </w:rPr>
        <w:t xml:space="preserve"> </w:t>
      </w:r>
      <w:r w:rsidR="00180116" w:rsidRPr="00B258B9">
        <w:rPr>
          <w:rFonts w:eastAsia="Times New Roman"/>
          <w:bCs/>
          <w:kern w:val="0"/>
        </w:rPr>
        <w:t>e é</w:t>
      </w:r>
      <w:r w:rsidR="00516E83" w:rsidRPr="00B258B9">
        <w:rPr>
          <w:rFonts w:eastAsia="Times New Roman"/>
          <w:bCs/>
          <w:kern w:val="0"/>
        </w:rPr>
        <w:t xml:space="preserve"> reconhecida </w:t>
      </w:r>
      <w:r w:rsidR="00615F4A" w:rsidRPr="00B258B9">
        <w:rPr>
          <w:rFonts w:eastAsia="Times New Roman"/>
          <w:bCs/>
          <w:kern w:val="0"/>
        </w:rPr>
        <w:t xml:space="preserve">no desenvolvimento de projetos </w:t>
      </w:r>
      <w:r w:rsidR="00615F4A" w:rsidRPr="00B258B9">
        <w:t>com vistas ao</w:t>
      </w:r>
      <w:r w:rsidR="00615F4A" w:rsidRPr="00B258B9">
        <w:rPr>
          <w:bCs/>
          <w:kern w:val="36"/>
        </w:rPr>
        <w:t xml:space="preserve"> desenvolvimento integral de crianças e adolescentes, especialmente em situação de vulnerabilidade social, utilizando a formação esportiva como ferramenta.</w:t>
      </w:r>
    </w:p>
    <w:p w14:paraId="1E66173B" w14:textId="77777777" w:rsidR="00516E83" w:rsidRPr="00B258B9" w:rsidRDefault="00516E83" w:rsidP="003107BB">
      <w:pPr>
        <w:ind w:firstLine="2268"/>
        <w:jc w:val="both"/>
        <w:rPr>
          <w:rFonts w:eastAsia="Times New Roman"/>
          <w:bCs/>
          <w:kern w:val="0"/>
        </w:rPr>
      </w:pPr>
    </w:p>
    <w:p w14:paraId="4D95E8FB" w14:textId="77777777" w:rsidR="0063196B" w:rsidRPr="00B258B9" w:rsidRDefault="00F90293" w:rsidP="003107BB">
      <w:pPr>
        <w:ind w:firstLine="2268"/>
        <w:jc w:val="both"/>
        <w:rPr>
          <w:rFonts w:eastAsia="Times New Roman"/>
          <w:color w:val="000000"/>
          <w:lang w:eastAsia="ar-SA"/>
        </w:rPr>
      </w:pPr>
      <w:r w:rsidRPr="00B258B9">
        <w:rPr>
          <w:rFonts w:eastAsia="Times New Roman"/>
          <w:bCs/>
          <w:kern w:val="0"/>
        </w:rPr>
        <w:t xml:space="preserve">Portanto, a entidade </w:t>
      </w:r>
      <w:r w:rsidR="001A7C6D" w:rsidRPr="00B258B9">
        <w:rPr>
          <w:rFonts w:eastAsia="Times New Roman"/>
          <w:bCs/>
          <w:kern w:val="0"/>
        </w:rPr>
        <w:t xml:space="preserve">em comento </w:t>
      </w:r>
      <w:r w:rsidRPr="00B258B9">
        <w:rPr>
          <w:rFonts w:eastAsia="Times New Roman"/>
          <w:bCs/>
          <w:kern w:val="0"/>
        </w:rPr>
        <w:t>desenvolve</w:t>
      </w:r>
      <w:r w:rsidR="00EE5FA5" w:rsidRPr="00B258B9">
        <w:rPr>
          <w:rFonts w:eastAsia="Times New Roman"/>
          <w:bCs/>
          <w:kern w:val="0"/>
        </w:rPr>
        <w:t xml:space="preserve"> </w:t>
      </w:r>
      <w:r w:rsidRPr="00B258B9">
        <w:rPr>
          <w:rFonts w:eastAsia="Times New Roman"/>
          <w:bCs/>
          <w:kern w:val="0"/>
        </w:rPr>
        <w:t>trabalho</w:t>
      </w:r>
      <w:r w:rsidR="00A4645E" w:rsidRPr="00B258B9">
        <w:rPr>
          <w:rFonts w:eastAsia="Times New Roman"/>
          <w:bCs/>
          <w:kern w:val="0"/>
        </w:rPr>
        <w:t xml:space="preserve"> de extrema relevância, sendo </w:t>
      </w:r>
      <w:r w:rsidR="0063196B" w:rsidRPr="00B258B9">
        <w:rPr>
          <w:rFonts w:eastAsia="Times New Roman"/>
          <w:color w:val="000000"/>
          <w:lang w:eastAsia="ar-SA"/>
        </w:rPr>
        <w:t>responsabilidade social do Município cooperar com os trabalhos desenvolvidos pelas entidades filantrópicas locais que atendam aos requisitos da Lei Municipal que dispõe sobre a concessão de subvenção social.</w:t>
      </w:r>
    </w:p>
    <w:p w14:paraId="0B17C804" w14:textId="77777777" w:rsidR="003107BB" w:rsidRPr="00B258B9" w:rsidRDefault="003107BB" w:rsidP="003107BB">
      <w:pPr>
        <w:ind w:firstLine="2268"/>
        <w:jc w:val="both"/>
        <w:rPr>
          <w:rFonts w:eastAsia="Times New Roman"/>
          <w:color w:val="000000"/>
          <w:lang w:eastAsia="ar-SA"/>
        </w:rPr>
      </w:pPr>
    </w:p>
    <w:p w14:paraId="2A610B56" w14:textId="77777777" w:rsidR="00707561" w:rsidRPr="003D44EB" w:rsidRDefault="0063196B" w:rsidP="003D44EB">
      <w:pPr>
        <w:ind w:firstLine="2268"/>
        <w:jc w:val="both"/>
      </w:pPr>
      <w:r w:rsidRPr="003D44EB">
        <w:t>Vale lembrar que subvenção social é uma modalidade de transferência de recursos financeiros públicos, para instituições privadas e públicas, de caráter assistencial, sem fins lucrativos, com o objetivo de cobrir despesas de custeio.</w:t>
      </w:r>
    </w:p>
    <w:p w14:paraId="67FC9976" w14:textId="77777777" w:rsidR="003107BB" w:rsidRPr="003D44EB" w:rsidRDefault="003107BB" w:rsidP="003D44EB">
      <w:pPr>
        <w:ind w:firstLine="2268"/>
        <w:jc w:val="both"/>
      </w:pPr>
    </w:p>
    <w:p w14:paraId="60983F0C" w14:textId="77777777" w:rsidR="003D44EB" w:rsidRPr="003D44EB" w:rsidRDefault="00A4645E" w:rsidP="003D44EB">
      <w:pPr>
        <w:ind w:firstLine="2268"/>
        <w:jc w:val="both"/>
      </w:pPr>
      <w:r w:rsidRPr="003D44EB">
        <w:t>Deste modo</w:t>
      </w:r>
      <w:r w:rsidR="00AE604C" w:rsidRPr="003D44EB">
        <w:t xml:space="preserve">, a presente proposição </w:t>
      </w:r>
      <w:r w:rsidR="003D44EB" w:rsidRPr="003D44EB">
        <w:t>tem como escopo a organização das agremiações de futebol no âmbito do Município, por meio do fomento e auxílio às suas lideranças na regularização jurídico-contábil das entidades, o que permitirá condições de acesso a recursos públicos necessários ao desenvolvimento de suas atividades, de inegável importância social às suas respectivas comunidades.</w:t>
      </w:r>
    </w:p>
    <w:p w14:paraId="4BB7A0E0" w14:textId="77777777" w:rsidR="003107BB" w:rsidRPr="003D44EB" w:rsidRDefault="003107BB" w:rsidP="003D44EB">
      <w:pPr>
        <w:ind w:firstLine="2268"/>
        <w:jc w:val="both"/>
      </w:pPr>
    </w:p>
    <w:p w14:paraId="5EA39255" w14:textId="77777777" w:rsidR="00C00CCC" w:rsidRPr="00B258B9" w:rsidRDefault="00F90293" w:rsidP="003D44EB">
      <w:pPr>
        <w:ind w:firstLine="2268"/>
        <w:jc w:val="both"/>
        <w:rPr>
          <w:color w:val="000000"/>
          <w:lang w:bidi="pt-BR"/>
        </w:rPr>
      </w:pPr>
      <w:r w:rsidRPr="003D44EB">
        <w:t>Por fim, destaco</w:t>
      </w:r>
      <w:r w:rsidR="00AB540A" w:rsidRPr="003D44EB">
        <w:t xml:space="preserve"> que a</w:t>
      </w:r>
      <w:r w:rsidRPr="003D44EB">
        <w:t xml:space="preserve"> instituição</w:t>
      </w:r>
      <w:r w:rsidR="000678BB" w:rsidRPr="003D44EB">
        <w:t xml:space="preserve"> poss</w:t>
      </w:r>
      <w:r w:rsidRPr="003D44EB">
        <w:t>ui todos</w:t>
      </w:r>
      <w:r w:rsidR="00AB540A" w:rsidRPr="003D44EB">
        <w:t xml:space="preserve"> os re</w:t>
      </w:r>
      <w:r w:rsidR="009D14B6" w:rsidRPr="003D44EB">
        <w:t>quisitos para</w:t>
      </w:r>
      <w:r w:rsidR="009D14B6" w:rsidRPr="00B258B9">
        <w:rPr>
          <w:color w:val="000000"/>
          <w:lang w:bidi="pt-BR"/>
        </w:rPr>
        <w:t xml:space="preserve"> recebimento da</w:t>
      </w:r>
      <w:r w:rsidR="000678BB" w:rsidRPr="00B258B9">
        <w:rPr>
          <w:color w:val="000000"/>
          <w:lang w:bidi="pt-BR"/>
        </w:rPr>
        <w:t xml:space="preserve"> subvenç</w:t>
      </w:r>
      <w:r w:rsidRPr="00B258B9">
        <w:rPr>
          <w:color w:val="000000"/>
          <w:lang w:bidi="pt-BR"/>
        </w:rPr>
        <w:t>ão</w:t>
      </w:r>
      <w:r w:rsidR="009D14B6" w:rsidRPr="00B258B9">
        <w:rPr>
          <w:color w:val="000000"/>
          <w:lang w:bidi="pt-BR"/>
        </w:rPr>
        <w:t xml:space="preserve">, entre eles a aprovação </w:t>
      </w:r>
      <w:r w:rsidR="000678BB" w:rsidRPr="00B258B9">
        <w:rPr>
          <w:color w:val="000000"/>
          <w:lang w:bidi="pt-BR"/>
        </w:rPr>
        <w:t xml:space="preserve">do Plano de Trabalho pela Secretaria Municipal de </w:t>
      </w:r>
      <w:r w:rsidR="006C3DB2" w:rsidRPr="00B258B9">
        <w:rPr>
          <w:color w:val="000000"/>
          <w:lang w:bidi="pt-BR"/>
        </w:rPr>
        <w:t>Educação, Esportes e Cultura</w:t>
      </w:r>
      <w:r w:rsidR="00117133" w:rsidRPr="00B258B9">
        <w:rPr>
          <w:color w:val="000000"/>
          <w:lang w:bidi="pt-BR"/>
        </w:rPr>
        <w:t>.</w:t>
      </w:r>
    </w:p>
    <w:p w14:paraId="4431A25E" w14:textId="77777777" w:rsidR="003E2A68" w:rsidRPr="00B258B9" w:rsidRDefault="003E2A68" w:rsidP="003107BB">
      <w:pPr>
        <w:ind w:left="15" w:firstLine="2268"/>
        <w:jc w:val="both"/>
        <w:rPr>
          <w:color w:val="000000"/>
          <w:lang w:bidi="pt-BR"/>
        </w:rPr>
      </w:pPr>
    </w:p>
    <w:p w14:paraId="3F2EC1AC" w14:textId="77777777" w:rsidR="005160F7" w:rsidRPr="00372CDD" w:rsidRDefault="005160F7" w:rsidP="005160F7">
      <w:pPr>
        <w:pStyle w:val="Corpodetexto"/>
        <w:ind w:firstLine="2268"/>
        <w:rPr>
          <w:color w:val="080808"/>
        </w:rPr>
      </w:pPr>
      <w:r w:rsidRPr="00372CDD">
        <w:rPr>
          <w:color w:val="080808"/>
        </w:rPr>
        <w:t xml:space="preserve">Por fim, considerando a relevância desta proposição, espero contar mais uma vez com o apoio desta Egrégia Casa e solicito que seja atribuído ao processo o </w:t>
      </w:r>
      <w:r w:rsidRPr="00372CDD">
        <w:rPr>
          <w:b/>
          <w:bCs/>
          <w:color w:val="080808"/>
          <w:u w:val="single"/>
        </w:rPr>
        <w:t>regime de urgência</w:t>
      </w:r>
      <w:r w:rsidRPr="00372CDD">
        <w:rPr>
          <w:color w:val="080808"/>
        </w:rPr>
        <w:t xml:space="preserve">, nos termos do art. 80 da Lei Orgânica do Município. </w:t>
      </w:r>
    </w:p>
    <w:p w14:paraId="7FC8AEEF" w14:textId="77777777" w:rsidR="003E2A68" w:rsidRPr="00B258B9" w:rsidRDefault="003E2A68" w:rsidP="003107BB">
      <w:pPr>
        <w:ind w:left="15" w:firstLine="2268"/>
        <w:jc w:val="both"/>
        <w:rPr>
          <w:b/>
          <w:bCs/>
          <w:color w:val="000000"/>
          <w:lang w:bidi="pt-BR"/>
        </w:rPr>
      </w:pPr>
    </w:p>
    <w:p w14:paraId="50EC03A7" w14:textId="77777777" w:rsidR="00613114" w:rsidRPr="00B258B9" w:rsidRDefault="00613114" w:rsidP="003107BB">
      <w:pPr>
        <w:autoSpaceDE w:val="0"/>
        <w:ind w:firstLine="2268"/>
        <w:jc w:val="both"/>
        <w:rPr>
          <w:rFonts w:eastAsia="TimesNewRomanPSMT"/>
        </w:rPr>
      </w:pPr>
      <w:r w:rsidRPr="00B258B9">
        <w:rPr>
          <w:rFonts w:eastAsia="TimesNewRomanPSMT"/>
        </w:rPr>
        <w:t xml:space="preserve">Prefeitura Municipal de Sete Lagoas, </w:t>
      </w:r>
      <w:r w:rsidR="0094395B">
        <w:rPr>
          <w:rFonts w:eastAsia="TimesNewRomanPSMT"/>
        </w:rPr>
        <w:t>1</w:t>
      </w:r>
      <w:r w:rsidR="00523698">
        <w:rPr>
          <w:rFonts w:eastAsia="TimesNewRomanPSMT"/>
        </w:rPr>
        <w:t>4</w:t>
      </w:r>
      <w:r w:rsidR="0094395B">
        <w:rPr>
          <w:rFonts w:eastAsia="TimesNewRomanPSMT"/>
        </w:rPr>
        <w:t xml:space="preserve"> de dezembro</w:t>
      </w:r>
      <w:r w:rsidR="008A0C93" w:rsidRPr="00B258B9">
        <w:rPr>
          <w:rFonts w:eastAsia="TimesNewRomanPSMT"/>
        </w:rPr>
        <w:t xml:space="preserve"> de 202</w:t>
      </w:r>
      <w:r w:rsidR="00C94F35" w:rsidRPr="00B258B9">
        <w:rPr>
          <w:rFonts w:eastAsia="TimesNewRomanPSMT"/>
        </w:rPr>
        <w:t>3</w:t>
      </w:r>
      <w:r w:rsidRPr="00B258B9">
        <w:rPr>
          <w:rFonts w:eastAsia="TimesNewRomanPSMT"/>
        </w:rPr>
        <w:t>.</w:t>
      </w:r>
    </w:p>
    <w:p w14:paraId="09550F30" w14:textId="77777777" w:rsidR="00613114" w:rsidRPr="00B258B9" w:rsidRDefault="00613114" w:rsidP="003107BB">
      <w:pPr>
        <w:autoSpaceDE w:val="0"/>
        <w:ind w:firstLine="2268"/>
        <w:jc w:val="both"/>
        <w:rPr>
          <w:rFonts w:eastAsia="TimesNewRomanPSMT"/>
        </w:rPr>
      </w:pPr>
    </w:p>
    <w:p w14:paraId="1F345F09" w14:textId="77777777" w:rsidR="00613114" w:rsidRPr="00B258B9" w:rsidRDefault="00613114" w:rsidP="003107BB">
      <w:pPr>
        <w:autoSpaceDE w:val="0"/>
        <w:ind w:firstLine="2268"/>
        <w:jc w:val="both"/>
        <w:rPr>
          <w:rFonts w:eastAsia="TimesNewRomanPSMT"/>
        </w:rPr>
      </w:pPr>
    </w:p>
    <w:p w14:paraId="372E9165" w14:textId="77777777" w:rsidR="008009C4" w:rsidRPr="00B258B9" w:rsidRDefault="008009C4" w:rsidP="008009C4">
      <w:pPr>
        <w:tabs>
          <w:tab w:val="left" w:pos="1701"/>
        </w:tabs>
        <w:ind w:left="2268"/>
        <w:jc w:val="both"/>
      </w:pPr>
      <w:r w:rsidRPr="00B258B9">
        <w:rPr>
          <w:b/>
        </w:rPr>
        <w:t>DUÍLIO DE CASTRO FARIA</w:t>
      </w:r>
    </w:p>
    <w:p w14:paraId="108CA137" w14:textId="77777777" w:rsidR="007A70D8" w:rsidRPr="00B258B9" w:rsidRDefault="008009C4" w:rsidP="008009C4">
      <w:pPr>
        <w:ind w:left="2268"/>
        <w:jc w:val="both"/>
        <w:rPr>
          <w:b/>
          <w:lang w:bidi="pt-BR"/>
        </w:rPr>
      </w:pPr>
      <w:r w:rsidRPr="00B258B9">
        <w:t>Prefeito Municipal</w:t>
      </w:r>
    </w:p>
    <w:sectPr w:rsidR="007A70D8" w:rsidRPr="00B258B9" w:rsidSect="00301240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0937" w14:textId="77777777" w:rsidR="00064F35" w:rsidRDefault="00064F35" w:rsidP="005C37BB">
      <w:r>
        <w:separator/>
      </w:r>
    </w:p>
  </w:endnote>
  <w:endnote w:type="continuationSeparator" w:id="0">
    <w:p w14:paraId="0DC090ED" w14:textId="77777777" w:rsidR="00064F35" w:rsidRDefault="00064F35" w:rsidP="005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E739" w14:textId="77777777" w:rsidR="005C37BB" w:rsidRDefault="001D7BA8" w:rsidP="00301240">
    <w:pPr>
      <w:pStyle w:val="Rodap"/>
      <w:jc w:val="right"/>
    </w:pPr>
    <w:r>
      <w:fldChar w:fldCharType="begin"/>
    </w:r>
    <w:r w:rsidR="005C37BB">
      <w:instrText>PAGE   \* MERGEFORMAT</w:instrText>
    </w:r>
    <w:r>
      <w:fldChar w:fldCharType="separate"/>
    </w:r>
    <w:r w:rsidR="00A56C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FDCD" w14:textId="77777777" w:rsidR="00064F35" w:rsidRDefault="00064F35" w:rsidP="005C37BB">
      <w:r>
        <w:separator/>
      </w:r>
    </w:p>
  </w:footnote>
  <w:footnote w:type="continuationSeparator" w:id="0">
    <w:p w14:paraId="7E665FEF" w14:textId="77777777" w:rsidR="00064F35" w:rsidRDefault="00064F35" w:rsidP="005C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1"/>
    <w:rsid w:val="000028D7"/>
    <w:rsid w:val="000044F5"/>
    <w:rsid w:val="000476D5"/>
    <w:rsid w:val="00057F32"/>
    <w:rsid w:val="0006034B"/>
    <w:rsid w:val="00062A82"/>
    <w:rsid w:val="00064F35"/>
    <w:rsid w:val="000678BB"/>
    <w:rsid w:val="00071071"/>
    <w:rsid w:val="00090076"/>
    <w:rsid w:val="00094133"/>
    <w:rsid w:val="00096C31"/>
    <w:rsid w:val="000B3497"/>
    <w:rsid w:val="000C674C"/>
    <w:rsid w:val="000E2AD5"/>
    <w:rsid w:val="000E50D9"/>
    <w:rsid w:val="000F0BD7"/>
    <w:rsid w:val="00117133"/>
    <w:rsid w:val="001204A0"/>
    <w:rsid w:val="0012566F"/>
    <w:rsid w:val="00143073"/>
    <w:rsid w:val="00180116"/>
    <w:rsid w:val="001900D4"/>
    <w:rsid w:val="001955E6"/>
    <w:rsid w:val="001A1A6F"/>
    <w:rsid w:val="001A7C6D"/>
    <w:rsid w:val="001D7BA8"/>
    <w:rsid w:val="002014A5"/>
    <w:rsid w:val="0022574C"/>
    <w:rsid w:val="002274C4"/>
    <w:rsid w:val="00234B8B"/>
    <w:rsid w:val="0024556F"/>
    <w:rsid w:val="00245742"/>
    <w:rsid w:val="00255167"/>
    <w:rsid w:val="00271CC7"/>
    <w:rsid w:val="00273BBA"/>
    <w:rsid w:val="00283DCE"/>
    <w:rsid w:val="00292C73"/>
    <w:rsid w:val="002E6494"/>
    <w:rsid w:val="002F0DF9"/>
    <w:rsid w:val="002F78C7"/>
    <w:rsid w:val="00301240"/>
    <w:rsid w:val="003107BB"/>
    <w:rsid w:val="003249BF"/>
    <w:rsid w:val="00326FC1"/>
    <w:rsid w:val="0034105B"/>
    <w:rsid w:val="00351428"/>
    <w:rsid w:val="00351DC1"/>
    <w:rsid w:val="00352FAA"/>
    <w:rsid w:val="0035644F"/>
    <w:rsid w:val="003649FF"/>
    <w:rsid w:val="0038317A"/>
    <w:rsid w:val="003B3369"/>
    <w:rsid w:val="003C5D04"/>
    <w:rsid w:val="003C6E84"/>
    <w:rsid w:val="003D44EB"/>
    <w:rsid w:val="003E2A68"/>
    <w:rsid w:val="003E6D8B"/>
    <w:rsid w:val="004111E2"/>
    <w:rsid w:val="0043090A"/>
    <w:rsid w:val="004322BD"/>
    <w:rsid w:val="00440AA2"/>
    <w:rsid w:val="004415D7"/>
    <w:rsid w:val="004458A5"/>
    <w:rsid w:val="00456975"/>
    <w:rsid w:val="00463DFB"/>
    <w:rsid w:val="00464851"/>
    <w:rsid w:val="0047236B"/>
    <w:rsid w:val="004A02E7"/>
    <w:rsid w:val="004A09B9"/>
    <w:rsid w:val="004B31A7"/>
    <w:rsid w:val="004B7CF5"/>
    <w:rsid w:val="004F0116"/>
    <w:rsid w:val="00501187"/>
    <w:rsid w:val="00504F45"/>
    <w:rsid w:val="005068B4"/>
    <w:rsid w:val="005160F7"/>
    <w:rsid w:val="00516E83"/>
    <w:rsid w:val="00517E0C"/>
    <w:rsid w:val="005211FD"/>
    <w:rsid w:val="00523698"/>
    <w:rsid w:val="00535CDF"/>
    <w:rsid w:val="005501CC"/>
    <w:rsid w:val="0056358B"/>
    <w:rsid w:val="005868AE"/>
    <w:rsid w:val="00590D17"/>
    <w:rsid w:val="005C3587"/>
    <w:rsid w:val="005C37BB"/>
    <w:rsid w:val="005C4732"/>
    <w:rsid w:val="005C57DF"/>
    <w:rsid w:val="005D0CE8"/>
    <w:rsid w:val="005E71E6"/>
    <w:rsid w:val="005F2EAC"/>
    <w:rsid w:val="0060681D"/>
    <w:rsid w:val="00612564"/>
    <w:rsid w:val="00613114"/>
    <w:rsid w:val="00615F4A"/>
    <w:rsid w:val="0063196B"/>
    <w:rsid w:val="00635A39"/>
    <w:rsid w:val="00650BF5"/>
    <w:rsid w:val="00656E38"/>
    <w:rsid w:val="006B3280"/>
    <w:rsid w:val="006B41BC"/>
    <w:rsid w:val="006B4D33"/>
    <w:rsid w:val="006B4F4C"/>
    <w:rsid w:val="006C3DB2"/>
    <w:rsid w:val="006E3BC0"/>
    <w:rsid w:val="00707561"/>
    <w:rsid w:val="00711402"/>
    <w:rsid w:val="00713989"/>
    <w:rsid w:val="00722E16"/>
    <w:rsid w:val="00722E39"/>
    <w:rsid w:val="00723443"/>
    <w:rsid w:val="00723634"/>
    <w:rsid w:val="0072416E"/>
    <w:rsid w:val="00727645"/>
    <w:rsid w:val="0076454C"/>
    <w:rsid w:val="00772B69"/>
    <w:rsid w:val="00776B9B"/>
    <w:rsid w:val="0079162A"/>
    <w:rsid w:val="007936AC"/>
    <w:rsid w:val="007A08FA"/>
    <w:rsid w:val="007A70D8"/>
    <w:rsid w:val="007B179C"/>
    <w:rsid w:val="007B2CC3"/>
    <w:rsid w:val="007D2B7C"/>
    <w:rsid w:val="007F44B0"/>
    <w:rsid w:val="008009C4"/>
    <w:rsid w:val="00802E96"/>
    <w:rsid w:val="00811FAD"/>
    <w:rsid w:val="00841074"/>
    <w:rsid w:val="008651B8"/>
    <w:rsid w:val="00873696"/>
    <w:rsid w:val="008A0C93"/>
    <w:rsid w:val="008C2D94"/>
    <w:rsid w:val="008F67B2"/>
    <w:rsid w:val="00914DD1"/>
    <w:rsid w:val="0094395B"/>
    <w:rsid w:val="00957B3D"/>
    <w:rsid w:val="00963960"/>
    <w:rsid w:val="009A2275"/>
    <w:rsid w:val="009D14B6"/>
    <w:rsid w:val="009F7D7D"/>
    <w:rsid w:val="00A17A1C"/>
    <w:rsid w:val="00A30BD3"/>
    <w:rsid w:val="00A417FD"/>
    <w:rsid w:val="00A43CFF"/>
    <w:rsid w:val="00A4645E"/>
    <w:rsid w:val="00A532E4"/>
    <w:rsid w:val="00A56C05"/>
    <w:rsid w:val="00A62104"/>
    <w:rsid w:val="00A73820"/>
    <w:rsid w:val="00A739E4"/>
    <w:rsid w:val="00AA3128"/>
    <w:rsid w:val="00AB540A"/>
    <w:rsid w:val="00AC028C"/>
    <w:rsid w:val="00AD17A1"/>
    <w:rsid w:val="00AD4ADC"/>
    <w:rsid w:val="00AD6557"/>
    <w:rsid w:val="00AD6F3F"/>
    <w:rsid w:val="00AD7E64"/>
    <w:rsid w:val="00AE0950"/>
    <w:rsid w:val="00AE604C"/>
    <w:rsid w:val="00AF72DD"/>
    <w:rsid w:val="00B1634C"/>
    <w:rsid w:val="00B24427"/>
    <w:rsid w:val="00B24476"/>
    <w:rsid w:val="00B258B9"/>
    <w:rsid w:val="00B36AD9"/>
    <w:rsid w:val="00B5099F"/>
    <w:rsid w:val="00B5337E"/>
    <w:rsid w:val="00B53C24"/>
    <w:rsid w:val="00B62A8F"/>
    <w:rsid w:val="00B731F1"/>
    <w:rsid w:val="00B7534E"/>
    <w:rsid w:val="00B80BDB"/>
    <w:rsid w:val="00B83626"/>
    <w:rsid w:val="00B857BD"/>
    <w:rsid w:val="00BC4418"/>
    <w:rsid w:val="00C00CCC"/>
    <w:rsid w:val="00C06C04"/>
    <w:rsid w:val="00C16825"/>
    <w:rsid w:val="00C41984"/>
    <w:rsid w:val="00C45756"/>
    <w:rsid w:val="00C55EBA"/>
    <w:rsid w:val="00C671FA"/>
    <w:rsid w:val="00C8040D"/>
    <w:rsid w:val="00C9467A"/>
    <w:rsid w:val="00C94F35"/>
    <w:rsid w:val="00CB0AFD"/>
    <w:rsid w:val="00CC0B73"/>
    <w:rsid w:val="00CE7CF9"/>
    <w:rsid w:val="00CF23B5"/>
    <w:rsid w:val="00CF74D0"/>
    <w:rsid w:val="00CF77ED"/>
    <w:rsid w:val="00D06F90"/>
    <w:rsid w:val="00D11652"/>
    <w:rsid w:val="00D262FD"/>
    <w:rsid w:val="00D33C33"/>
    <w:rsid w:val="00D40C89"/>
    <w:rsid w:val="00D5141F"/>
    <w:rsid w:val="00D55D4A"/>
    <w:rsid w:val="00D75AB0"/>
    <w:rsid w:val="00D83EF2"/>
    <w:rsid w:val="00D87068"/>
    <w:rsid w:val="00D91125"/>
    <w:rsid w:val="00DB24E5"/>
    <w:rsid w:val="00DC2976"/>
    <w:rsid w:val="00DC4623"/>
    <w:rsid w:val="00DF6AFC"/>
    <w:rsid w:val="00E33C99"/>
    <w:rsid w:val="00E510CC"/>
    <w:rsid w:val="00E6101F"/>
    <w:rsid w:val="00E701BB"/>
    <w:rsid w:val="00E911F3"/>
    <w:rsid w:val="00EA32E0"/>
    <w:rsid w:val="00EA7935"/>
    <w:rsid w:val="00EC1B2F"/>
    <w:rsid w:val="00EC4B06"/>
    <w:rsid w:val="00EE5FA5"/>
    <w:rsid w:val="00EF3CAC"/>
    <w:rsid w:val="00F20255"/>
    <w:rsid w:val="00F23FC3"/>
    <w:rsid w:val="00F3305B"/>
    <w:rsid w:val="00F37885"/>
    <w:rsid w:val="00F4446F"/>
    <w:rsid w:val="00F4504B"/>
    <w:rsid w:val="00F470B3"/>
    <w:rsid w:val="00F639E8"/>
    <w:rsid w:val="00F6508E"/>
    <w:rsid w:val="00F90293"/>
    <w:rsid w:val="00F9197D"/>
    <w:rsid w:val="00FA0188"/>
    <w:rsid w:val="00FC5616"/>
    <w:rsid w:val="00FE75ED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AC9E"/>
  <w15:docId w15:val="{4B4E4D76-5E94-44A7-BC33-DF9C292D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7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071071"/>
    <w:rPr>
      <w:b/>
      <w:bCs/>
    </w:rPr>
  </w:style>
  <w:style w:type="character" w:customStyle="1" w:styleId="object">
    <w:name w:val="object"/>
    <w:basedOn w:val="Fontepargpadro"/>
    <w:rsid w:val="008C2D94"/>
  </w:style>
  <w:style w:type="character" w:styleId="Hyperlink">
    <w:name w:val="Hyperlink"/>
    <w:uiPriority w:val="99"/>
    <w:semiHidden/>
    <w:unhideWhenUsed/>
    <w:rsid w:val="008C2D94"/>
    <w:rPr>
      <w:color w:val="0000FF"/>
      <w:u w:val="single"/>
    </w:rPr>
  </w:style>
  <w:style w:type="character" w:customStyle="1" w:styleId="label">
    <w:name w:val="label"/>
    <w:basedOn w:val="Fontepargpadro"/>
    <w:rsid w:val="003649FF"/>
  </w:style>
  <w:style w:type="character" w:customStyle="1" w:styleId="Absatz-Standardschriftart">
    <w:name w:val="Absatz-Standardschriftart"/>
    <w:rsid w:val="003649FF"/>
  </w:style>
  <w:style w:type="paragraph" w:styleId="Cabealho">
    <w:name w:val="header"/>
    <w:basedOn w:val="Normal"/>
    <w:link w:val="CabealhoChar"/>
    <w:uiPriority w:val="99"/>
    <w:unhideWhenUsed/>
    <w:rsid w:val="005C37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C37B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37B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C37BB"/>
    <w:rPr>
      <w:rFonts w:ascii="Times New Roman" w:eastAsia="Lucida Sans Unicode" w:hAnsi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7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C37BB"/>
    <w:rPr>
      <w:rFonts w:ascii="Tahoma" w:eastAsia="Lucida Sans Unicode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D911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112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91125"/>
    <w:rPr>
      <w:rFonts w:ascii="Times New Roman" w:eastAsia="Lucida Sans Unicode" w:hAnsi="Times New Roman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12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91125"/>
    <w:rPr>
      <w:rFonts w:ascii="Times New Roman" w:eastAsia="Lucida Sans Unicode" w:hAnsi="Times New Roman"/>
      <w:b/>
      <w:bCs/>
      <w:kern w:val="1"/>
    </w:rPr>
  </w:style>
  <w:style w:type="paragraph" w:styleId="Corpodetexto">
    <w:name w:val="Body Text"/>
    <w:basedOn w:val="Normal"/>
    <w:link w:val="CorpodetextoChar"/>
    <w:rsid w:val="005160F7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60F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3709-95A6-498F-B19F-BEA3FD43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PMSL</Company>
  <LinksUpToDate>false</LinksUpToDate>
  <CharactersWithSpaces>7569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callto:120408.242.2416-2440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ma238302</dc:creator>
  <cp:lastModifiedBy>LUIZA DE ANDRADE SANTOS</cp:lastModifiedBy>
  <cp:revision>2</cp:revision>
  <cp:lastPrinted>2023-02-06T12:29:00Z</cp:lastPrinted>
  <dcterms:created xsi:type="dcterms:W3CDTF">2023-12-14T21:49:00Z</dcterms:created>
  <dcterms:modified xsi:type="dcterms:W3CDTF">2023-12-14T21:49:00Z</dcterms:modified>
</cp:coreProperties>
</file>