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02663064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D3796B" w:rsidRPr="00D3796B">
        <w:rPr>
          <w:rFonts w:ascii="Arial" w:hAnsi="Arial" w:cs="Arial"/>
          <w:b/>
          <w:sz w:val="24"/>
          <w:szCs w:val="24"/>
        </w:rPr>
        <w:t>MARIA LUIZA DE ARAÚJO FARI</w:t>
      </w:r>
      <w:r w:rsidR="008F0811">
        <w:rPr>
          <w:rFonts w:ascii="Arial" w:hAnsi="Arial" w:cs="Arial"/>
          <w:b/>
          <w:sz w:val="24"/>
          <w:szCs w:val="24"/>
        </w:rPr>
        <w:t>A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8FB17" w14:textId="77777777" w:rsidR="00C67188" w:rsidRDefault="00C67188">
      <w:pPr>
        <w:spacing w:after="0" w:line="240" w:lineRule="auto"/>
      </w:pPr>
      <w:r>
        <w:separator/>
      </w:r>
    </w:p>
  </w:endnote>
  <w:endnote w:type="continuationSeparator" w:id="0">
    <w:p w14:paraId="4C4F274C" w14:textId="77777777" w:rsidR="00C67188" w:rsidRDefault="00C6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C671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683D7" w14:textId="77777777" w:rsidR="00C67188" w:rsidRDefault="00C67188">
      <w:pPr>
        <w:spacing w:after="0" w:line="240" w:lineRule="auto"/>
      </w:pPr>
      <w:r>
        <w:separator/>
      </w:r>
    </w:p>
  </w:footnote>
  <w:footnote w:type="continuationSeparator" w:id="0">
    <w:p w14:paraId="45A604A4" w14:textId="77777777" w:rsidR="00C67188" w:rsidRDefault="00C6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C67188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C671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E5E39"/>
    <w:rsid w:val="00457F46"/>
    <w:rsid w:val="00575DAB"/>
    <w:rsid w:val="005955D0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4469A"/>
    <w:rsid w:val="009522C6"/>
    <w:rsid w:val="00A005D0"/>
    <w:rsid w:val="00B36BED"/>
    <w:rsid w:val="00B47DF6"/>
    <w:rsid w:val="00B50586"/>
    <w:rsid w:val="00C314D3"/>
    <w:rsid w:val="00C67188"/>
    <w:rsid w:val="00D10974"/>
    <w:rsid w:val="00D3796B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2023-07-13T14:51:00Z</cp:lastPrinted>
  <dcterms:created xsi:type="dcterms:W3CDTF">2023-07-13T14:53:00Z</dcterms:created>
  <dcterms:modified xsi:type="dcterms:W3CDTF">2023-07-13T14:53:00Z</dcterms:modified>
</cp:coreProperties>
</file>