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7D" w:rsidRDefault="00AF7CD2" w:rsidP="005E1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CD2">
        <w:rPr>
          <w:rFonts w:ascii="Times New Roman" w:hAnsi="Times New Roman" w:cs="Times New Roman"/>
          <w:b/>
          <w:sz w:val="28"/>
          <w:szCs w:val="28"/>
        </w:rPr>
        <w:t>ANTEPROJETO DE LEI Nº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5C6F2E" w:rsidRDefault="005C6F2E" w:rsidP="005C6F2E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696" w:rsidRPr="00AE43B3" w:rsidRDefault="00623A95" w:rsidP="005C6F2E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A95">
        <w:rPr>
          <w:rFonts w:ascii="Times New Roman" w:hAnsi="Times New Roman" w:cs="Times New Roman"/>
          <w:b/>
          <w:sz w:val="28"/>
          <w:szCs w:val="28"/>
        </w:rPr>
        <w:t>DETERMINA A APLICAÇÃO DE TESTES GENÉTICOS EM PESSOAS COM IDADE SUPERIOR A 35 ANOS, VISANDO AO RASTREAMENTO</w:t>
      </w:r>
      <w:r>
        <w:rPr>
          <w:rFonts w:ascii="Times New Roman" w:hAnsi="Times New Roman" w:cs="Times New Roman"/>
          <w:b/>
          <w:sz w:val="28"/>
          <w:szCs w:val="28"/>
        </w:rPr>
        <w:t xml:space="preserve"> E À DETECÇÃO PRECOCE DO CÂNCER EM </w:t>
      </w:r>
      <w:r w:rsidR="005C6F2E">
        <w:rPr>
          <w:rFonts w:ascii="Times New Roman" w:hAnsi="Times New Roman" w:cs="Times New Roman"/>
          <w:b/>
          <w:sz w:val="28"/>
          <w:szCs w:val="28"/>
        </w:rPr>
        <w:t>SETE LAGOAS, E DÁ OUTRAS PROVIDÊNCIAS.</w:t>
      </w:r>
    </w:p>
    <w:p w:rsidR="005C6F2E" w:rsidRDefault="005C6F2E" w:rsidP="005E15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43A" w:rsidRPr="00A97F2F" w:rsidRDefault="00AF7CD2" w:rsidP="00CB143A">
      <w:pPr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b/>
          <w:sz w:val="28"/>
          <w:szCs w:val="28"/>
        </w:rPr>
        <w:t xml:space="preserve">Art. 1º </w:t>
      </w:r>
      <w:r w:rsidR="00AE43B3" w:rsidRPr="00A97F2F">
        <w:rPr>
          <w:rFonts w:ascii="Times New Roman" w:hAnsi="Times New Roman" w:cs="Times New Roman"/>
          <w:sz w:val="28"/>
          <w:szCs w:val="28"/>
        </w:rPr>
        <w:t xml:space="preserve">- </w:t>
      </w:r>
      <w:r w:rsidR="00CB143A" w:rsidRPr="00A97F2F">
        <w:rPr>
          <w:rFonts w:ascii="Times New Roman" w:hAnsi="Times New Roman" w:cs="Times New Roman"/>
          <w:sz w:val="28"/>
          <w:szCs w:val="28"/>
        </w:rPr>
        <w:t xml:space="preserve">Fica determinada a implantação de detecção precoce do câncer, por meio de rastreamento e testes genéticos aos </w:t>
      </w:r>
      <w:r w:rsidR="00623A95" w:rsidRPr="00A97F2F">
        <w:rPr>
          <w:rFonts w:ascii="Times New Roman" w:hAnsi="Times New Roman" w:cs="Times New Roman"/>
          <w:sz w:val="28"/>
          <w:szCs w:val="28"/>
        </w:rPr>
        <w:t>setelagoanos</w:t>
      </w:r>
      <w:r w:rsidR="00CB143A" w:rsidRPr="00A97F2F">
        <w:rPr>
          <w:rFonts w:ascii="Times New Roman" w:hAnsi="Times New Roman" w:cs="Times New Roman"/>
          <w:sz w:val="28"/>
          <w:szCs w:val="28"/>
        </w:rPr>
        <w:t xml:space="preserve"> com idade superior a 35 anos, ratificando os dispostos previstos na Portaria nº 874, de 16 de maio de 2013 que institui a Política Nacional para a Prevenção e Controle do Câncer na Rede de Atenção à Saúde das Pessoas com Doenças Crônicas no âmbito do Sistema Único de Saúde - SUS, seguindo os seguintes preceitos:</w:t>
      </w:r>
    </w:p>
    <w:p w:rsidR="00CB143A" w:rsidRPr="00A97F2F" w:rsidRDefault="00CB143A" w:rsidP="00CB143A">
      <w:pPr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b/>
          <w:sz w:val="28"/>
          <w:szCs w:val="28"/>
        </w:rPr>
        <w:t xml:space="preserve">Parágrafo único - </w:t>
      </w:r>
      <w:r w:rsidRPr="00A97F2F">
        <w:rPr>
          <w:rFonts w:ascii="Times New Roman" w:hAnsi="Times New Roman" w:cs="Times New Roman"/>
          <w:sz w:val="28"/>
          <w:szCs w:val="28"/>
        </w:rPr>
        <w:t xml:space="preserve">Terão prioridade para o teste descrito no </w:t>
      </w:r>
      <w:r w:rsidRPr="00A97F2F">
        <w:rPr>
          <w:rFonts w:ascii="Times New Roman" w:hAnsi="Times New Roman" w:cs="Times New Roman"/>
          <w:i/>
          <w:iCs/>
          <w:sz w:val="28"/>
          <w:szCs w:val="28"/>
        </w:rPr>
        <w:t>caput</w:t>
      </w:r>
      <w:r w:rsidRPr="00A97F2F">
        <w:rPr>
          <w:rFonts w:ascii="Times New Roman" w:hAnsi="Times New Roman" w:cs="Times New Roman"/>
          <w:sz w:val="28"/>
          <w:szCs w:val="28"/>
        </w:rPr>
        <w:t xml:space="preserve"> deste artigo:</w:t>
      </w:r>
    </w:p>
    <w:p w:rsidR="00CB143A" w:rsidRPr="00A97F2F" w:rsidRDefault="00CB143A" w:rsidP="00CB143A">
      <w:pPr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I - Familiares independentes de sua idade, descendentes consanguíneos até o terceiro grau de pessoas a qual foi diagnosticada o câncer;</w:t>
      </w:r>
    </w:p>
    <w:p w:rsidR="00CB143A" w:rsidRPr="00A97F2F" w:rsidRDefault="00CB143A" w:rsidP="00CB143A">
      <w:pPr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II - Familiares independentes de sua idade, colaterais até o segundo grau de pessoas a qual foi diagnosticada o câncer;</w:t>
      </w:r>
    </w:p>
    <w:p w:rsidR="00CB143A" w:rsidRPr="00A97F2F" w:rsidRDefault="00CB143A" w:rsidP="00CB143A">
      <w:pPr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III - Pessoas portadoras de doenças crônicas.</w:t>
      </w:r>
    </w:p>
    <w:p w:rsidR="00CB143A" w:rsidRPr="00A97F2F" w:rsidRDefault="00CB143A" w:rsidP="00CB143A">
      <w:pPr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IV - Pessoas com idade igual ou superior a 65 anos.</w:t>
      </w:r>
    </w:p>
    <w:p w:rsidR="00CB143A" w:rsidRPr="00A97F2F" w:rsidRDefault="00CB143A" w:rsidP="00CB143A">
      <w:pPr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b/>
          <w:sz w:val="28"/>
          <w:szCs w:val="28"/>
        </w:rPr>
        <w:t>Art. 2º</w:t>
      </w:r>
      <w:r w:rsidRPr="00A97F2F">
        <w:rPr>
          <w:rFonts w:ascii="Times New Roman" w:hAnsi="Times New Roman" w:cs="Times New Roman"/>
          <w:sz w:val="28"/>
          <w:szCs w:val="28"/>
        </w:rPr>
        <w:t xml:space="preserve"> - O teste previsto no artigo primeiro será implantado junto a, vinculada à Secretaria de Saúde de Sete Lagoas.</w:t>
      </w:r>
    </w:p>
    <w:p w:rsidR="00CB143A" w:rsidRPr="00A97F2F" w:rsidRDefault="00CB143A" w:rsidP="00CB143A">
      <w:pPr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b/>
          <w:sz w:val="28"/>
          <w:szCs w:val="28"/>
        </w:rPr>
        <w:t>Art. 3º -</w:t>
      </w:r>
      <w:r w:rsidRPr="00A97F2F">
        <w:rPr>
          <w:rFonts w:ascii="Times New Roman" w:hAnsi="Times New Roman" w:cs="Times New Roman"/>
          <w:sz w:val="28"/>
          <w:szCs w:val="28"/>
        </w:rPr>
        <w:t xml:space="preserve"> As despesas decorrentes da execução desta lei correrão por conta das dotações próprias consignadas no orçamento, suplementadas se necessário.</w:t>
      </w:r>
    </w:p>
    <w:p w:rsidR="005C6F2E" w:rsidRPr="00A97F2F" w:rsidRDefault="00CB143A" w:rsidP="005C6F2E">
      <w:pPr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b/>
          <w:sz w:val="28"/>
          <w:szCs w:val="28"/>
        </w:rPr>
        <w:lastRenderedPageBreak/>
        <w:t>Art. 4º -</w:t>
      </w:r>
      <w:r w:rsidRPr="00A97F2F">
        <w:rPr>
          <w:rFonts w:ascii="Times New Roman" w:hAnsi="Times New Roman" w:cs="Times New Roman"/>
          <w:sz w:val="28"/>
          <w:szCs w:val="28"/>
        </w:rPr>
        <w:t xml:space="preserve"> Esta lei entrará em vigor na data de sua publicação.</w:t>
      </w:r>
    </w:p>
    <w:p w:rsidR="00C2491E" w:rsidRPr="00A97F2F" w:rsidRDefault="00C2491E" w:rsidP="004155F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A97F2F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F2F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CB143A" w:rsidRPr="00A97F2F">
        <w:rPr>
          <w:rFonts w:ascii="Times New Roman" w:eastAsia="Times New Roman" w:hAnsi="Times New Roman" w:cs="Times New Roman"/>
          <w:sz w:val="28"/>
          <w:szCs w:val="28"/>
        </w:rPr>
        <w:t>07 de fevereiro de 2022</w:t>
      </w:r>
      <w:r w:rsidR="00C2491E" w:rsidRPr="00A97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57D" w:rsidRPr="005C6F2E" w:rsidRDefault="00C2491E" w:rsidP="005C6F2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2844982" cy="10509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29" cy="11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7D" w:rsidRDefault="005E157D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805696" w:rsidRPr="00A97F2F" w:rsidRDefault="001F7705" w:rsidP="00A97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576254" w:rsidRPr="00A97F2F" w:rsidRDefault="00576254" w:rsidP="00A97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Segundo dados levantados pelo Instituto Nacional de Câncer - INCA, órgão vinculado ao Ministério da Saúde, no ano</w:t>
      </w:r>
      <w:r w:rsidR="00A97F2F">
        <w:rPr>
          <w:rFonts w:ascii="Times New Roman" w:hAnsi="Times New Roman" w:cs="Times New Roman"/>
          <w:sz w:val="28"/>
          <w:szCs w:val="28"/>
        </w:rPr>
        <w:t xml:space="preserve"> de 2020,</w:t>
      </w:r>
      <w:r w:rsidRPr="00A97F2F">
        <w:rPr>
          <w:rFonts w:ascii="Times New Roman" w:hAnsi="Times New Roman" w:cs="Times New Roman"/>
          <w:sz w:val="28"/>
          <w:szCs w:val="28"/>
        </w:rPr>
        <w:t xml:space="preserve"> cerca de 626.030 pessoas foram diagnosticadas com câncer em nosso país. Os casos mais incidentes nos homens são relacionados ao câncer de próstata e nas mulheres o câncer de mama. Somente no estado de Minas Gerais, são diagnósticos cerca </w:t>
      </w:r>
      <w:r w:rsidR="00A97F2F" w:rsidRPr="00A97F2F">
        <w:rPr>
          <w:rFonts w:ascii="Times New Roman" w:hAnsi="Times New Roman" w:cs="Times New Roman"/>
          <w:sz w:val="28"/>
          <w:szCs w:val="28"/>
        </w:rPr>
        <w:t>de 112</w:t>
      </w:r>
      <w:r w:rsidRPr="00A97F2F">
        <w:rPr>
          <w:rFonts w:ascii="Times New Roman" w:hAnsi="Times New Roman" w:cs="Times New Roman"/>
          <w:sz w:val="28"/>
          <w:szCs w:val="28"/>
        </w:rPr>
        <w:t xml:space="preserve"> mil casos todos os anos.</w:t>
      </w:r>
    </w:p>
    <w:p w:rsidR="00576254" w:rsidRPr="00A97F2F" w:rsidRDefault="00576254" w:rsidP="00A97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Em termos de mortes esta doença ceifa aproximadamente 232 mil pessoas em nosso país anualmente. Nos homens o Câncer de Traqueia, Brônquios e pulmões são as principais causas de mortes, para o sexo feminino a principal causa de óbitos recai sobre o câncer de mama.</w:t>
      </w:r>
    </w:p>
    <w:p w:rsidR="00576254" w:rsidRPr="00A97F2F" w:rsidRDefault="00576254" w:rsidP="00A97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 xml:space="preserve">Esta doença sem dúvida é uma das principais causas de mortes em nosso país, ficando atrás somente das doenças arteriais, </w:t>
      </w:r>
      <w:proofErr w:type="spellStart"/>
      <w:r w:rsidRPr="00A97F2F">
        <w:rPr>
          <w:rFonts w:ascii="Times New Roman" w:hAnsi="Times New Roman" w:cs="Times New Roman"/>
          <w:sz w:val="28"/>
          <w:szCs w:val="28"/>
        </w:rPr>
        <w:t>AVCs</w:t>
      </w:r>
      <w:proofErr w:type="spellEnd"/>
      <w:r w:rsidRPr="00A97F2F">
        <w:rPr>
          <w:rFonts w:ascii="Times New Roman" w:hAnsi="Times New Roman" w:cs="Times New Roman"/>
          <w:sz w:val="28"/>
          <w:szCs w:val="28"/>
        </w:rPr>
        <w:t>, e doenças pulmonares.</w:t>
      </w:r>
    </w:p>
    <w:p w:rsidR="00576254" w:rsidRPr="00A97F2F" w:rsidRDefault="00576254" w:rsidP="00A97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Em 2019, o país gastou cerca de R$ 848 milhões somente com as despesas decorrentes do câncer de mama, o que representa cerca de 22,8% de todos os gastos diretos com o tratamento oncológico. Nas próximas duas décadas, o número de casos deve crescer 47% e os gastos federais deverão dobrar de valor. Por isso, a necessidade de investimentos na prevenção primária da doença, por meio de diagnósticos é fundamental inclusive para a redução de gastos.</w:t>
      </w:r>
    </w:p>
    <w:p w:rsidR="00576254" w:rsidRPr="00A97F2F" w:rsidRDefault="00576254" w:rsidP="00A97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 xml:space="preserve">No exame de rastreamento genético, o DNA é extraído pela saliva, podendo ser efetuada pelo próprio usuário em sua residência, devendo assim enviar a amostra para análise em laboratório. O DNA é analisado através da tecnologia </w:t>
      </w:r>
      <w:proofErr w:type="spellStart"/>
      <w:r w:rsidRPr="00A97F2F">
        <w:rPr>
          <w:rFonts w:ascii="Times New Roman" w:hAnsi="Times New Roman" w:cs="Times New Roman"/>
          <w:sz w:val="28"/>
          <w:szCs w:val="28"/>
        </w:rPr>
        <w:t>Exoma</w:t>
      </w:r>
      <w:proofErr w:type="spellEnd"/>
      <w:r w:rsidRPr="00A97F2F">
        <w:rPr>
          <w:rFonts w:ascii="Times New Roman" w:hAnsi="Times New Roman" w:cs="Times New Roman"/>
          <w:sz w:val="28"/>
          <w:szCs w:val="28"/>
        </w:rPr>
        <w:t>, que faz um sequenciamento completo dos genes. Por meio de inteligência artificial e bioinformática, as informações são comparadas com bancos de dados genéticos, com o objetivo de verificar e definir quais são as variantes genéticas que podem causar esta doença.</w:t>
      </w:r>
    </w:p>
    <w:p w:rsidR="00576254" w:rsidRPr="00A97F2F" w:rsidRDefault="00576254" w:rsidP="00A97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lastRenderedPageBreak/>
        <w:t>A presente proposição visa garantir de forma preventiva os exames de rastreamento e teste genéticos para a detecção de Câncer em pessoas com mais de 35 anos no município de Sete Lagoas.</w:t>
      </w:r>
    </w:p>
    <w:p w:rsidR="00C2491E" w:rsidRPr="00A97F2F" w:rsidRDefault="00C2491E" w:rsidP="00A97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7F2F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242E3C" w:rsidRPr="00A97F2F" w:rsidRDefault="00242E3C" w:rsidP="00A97F2F">
      <w:pPr>
        <w:pStyle w:val="NormalWeb"/>
        <w:jc w:val="both"/>
        <w:rPr>
          <w:rFonts w:eastAsia="DejaVu Sans"/>
          <w:bCs/>
          <w:kern w:val="2"/>
          <w:sz w:val="28"/>
          <w:szCs w:val="28"/>
          <w:lang w:eastAsia="en-US"/>
        </w:rPr>
      </w:pPr>
    </w:p>
    <w:p w:rsidR="001F7705" w:rsidRPr="00A97F2F" w:rsidRDefault="00C2491E" w:rsidP="00A97F2F">
      <w:pPr>
        <w:pStyle w:val="NormalWeb"/>
        <w:jc w:val="center"/>
        <w:rPr>
          <w:sz w:val="28"/>
          <w:szCs w:val="28"/>
        </w:rPr>
      </w:pPr>
      <w:r w:rsidRPr="00A97F2F">
        <w:rPr>
          <w:sz w:val="28"/>
          <w:szCs w:val="28"/>
        </w:rPr>
        <w:t xml:space="preserve">Sete Lagoas, </w:t>
      </w:r>
      <w:r w:rsidR="00A97F2F" w:rsidRPr="00A97F2F">
        <w:rPr>
          <w:sz w:val="28"/>
          <w:szCs w:val="28"/>
        </w:rPr>
        <w:t>07</w:t>
      </w:r>
      <w:r w:rsidR="009266ED" w:rsidRPr="00A97F2F">
        <w:rPr>
          <w:sz w:val="28"/>
          <w:szCs w:val="28"/>
        </w:rPr>
        <w:t xml:space="preserve"> de </w:t>
      </w:r>
      <w:r w:rsidR="00A97F2F" w:rsidRPr="00A97F2F">
        <w:rPr>
          <w:sz w:val="28"/>
          <w:szCs w:val="28"/>
        </w:rPr>
        <w:t xml:space="preserve">fevereiro </w:t>
      </w:r>
      <w:r w:rsidR="009266ED" w:rsidRPr="00A97F2F">
        <w:rPr>
          <w:sz w:val="28"/>
          <w:szCs w:val="28"/>
        </w:rPr>
        <w:t>de 2022</w:t>
      </w:r>
      <w:r w:rsidRPr="00A97F2F">
        <w:rPr>
          <w:sz w:val="28"/>
          <w:szCs w:val="28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2943225" cy="129946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240" cy="1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9CD" w:rsidRDefault="001419CD" w:rsidP="00193753">
      <w:pPr>
        <w:spacing w:after="0" w:line="240" w:lineRule="auto"/>
      </w:pPr>
      <w:r>
        <w:separator/>
      </w:r>
    </w:p>
  </w:endnote>
  <w:endnote w:type="continuationSeparator" w:id="0">
    <w:p w:rsidR="001419CD" w:rsidRDefault="001419CD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9CD" w:rsidRDefault="001419CD" w:rsidP="00193753">
      <w:pPr>
        <w:spacing w:after="0" w:line="240" w:lineRule="auto"/>
      </w:pPr>
      <w:r>
        <w:separator/>
      </w:r>
    </w:p>
  </w:footnote>
  <w:footnote w:type="continuationSeparator" w:id="0">
    <w:p w:rsidR="001419CD" w:rsidRDefault="001419CD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2192A"/>
    <w:rsid w:val="00051FB8"/>
    <w:rsid w:val="00057091"/>
    <w:rsid w:val="00073DDE"/>
    <w:rsid w:val="00095742"/>
    <w:rsid w:val="000A2BC8"/>
    <w:rsid w:val="00111743"/>
    <w:rsid w:val="001419CD"/>
    <w:rsid w:val="00154C64"/>
    <w:rsid w:val="00170BDA"/>
    <w:rsid w:val="00176DF0"/>
    <w:rsid w:val="00193753"/>
    <w:rsid w:val="001D1248"/>
    <w:rsid w:val="001F172B"/>
    <w:rsid w:val="001F5286"/>
    <w:rsid w:val="001F7705"/>
    <w:rsid w:val="00222DF3"/>
    <w:rsid w:val="00242E3C"/>
    <w:rsid w:val="002C7100"/>
    <w:rsid w:val="003105CA"/>
    <w:rsid w:val="00363623"/>
    <w:rsid w:val="00367AE7"/>
    <w:rsid w:val="003A4602"/>
    <w:rsid w:val="003F6540"/>
    <w:rsid w:val="004155F3"/>
    <w:rsid w:val="00426CC5"/>
    <w:rsid w:val="0044582A"/>
    <w:rsid w:val="004538A2"/>
    <w:rsid w:val="00467A99"/>
    <w:rsid w:val="004C187A"/>
    <w:rsid w:val="004D7851"/>
    <w:rsid w:val="004F1DA7"/>
    <w:rsid w:val="005048A8"/>
    <w:rsid w:val="00541C68"/>
    <w:rsid w:val="00576254"/>
    <w:rsid w:val="00594D47"/>
    <w:rsid w:val="005A5FA8"/>
    <w:rsid w:val="005C6F2E"/>
    <w:rsid w:val="005E157D"/>
    <w:rsid w:val="005F29FB"/>
    <w:rsid w:val="00623A95"/>
    <w:rsid w:val="00623DC5"/>
    <w:rsid w:val="00636108"/>
    <w:rsid w:val="00646E37"/>
    <w:rsid w:val="006562EA"/>
    <w:rsid w:val="00691198"/>
    <w:rsid w:val="007208DE"/>
    <w:rsid w:val="007253CA"/>
    <w:rsid w:val="00777592"/>
    <w:rsid w:val="007967F6"/>
    <w:rsid w:val="007A03A6"/>
    <w:rsid w:val="007E574E"/>
    <w:rsid w:val="007F4973"/>
    <w:rsid w:val="00805696"/>
    <w:rsid w:val="008C69DE"/>
    <w:rsid w:val="009266ED"/>
    <w:rsid w:val="009470F2"/>
    <w:rsid w:val="009656E0"/>
    <w:rsid w:val="009809C5"/>
    <w:rsid w:val="009A1C54"/>
    <w:rsid w:val="009B496F"/>
    <w:rsid w:val="009D48AF"/>
    <w:rsid w:val="009F1BB3"/>
    <w:rsid w:val="00A15F75"/>
    <w:rsid w:val="00A26D83"/>
    <w:rsid w:val="00A379D3"/>
    <w:rsid w:val="00A757DC"/>
    <w:rsid w:val="00A97F2F"/>
    <w:rsid w:val="00AA6EC0"/>
    <w:rsid w:val="00AD2DE6"/>
    <w:rsid w:val="00AD7D85"/>
    <w:rsid w:val="00AE43B3"/>
    <w:rsid w:val="00AF7CD2"/>
    <w:rsid w:val="00B23499"/>
    <w:rsid w:val="00B66C86"/>
    <w:rsid w:val="00B7250D"/>
    <w:rsid w:val="00BC6968"/>
    <w:rsid w:val="00BF2D89"/>
    <w:rsid w:val="00C2491E"/>
    <w:rsid w:val="00C46D0C"/>
    <w:rsid w:val="00C617FB"/>
    <w:rsid w:val="00C67E24"/>
    <w:rsid w:val="00C74911"/>
    <w:rsid w:val="00CA2B92"/>
    <w:rsid w:val="00CB143A"/>
    <w:rsid w:val="00CE526B"/>
    <w:rsid w:val="00D211DF"/>
    <w:rsid w:val="00D23209"/>
    <w:rsid w:val="00D37F2B"/>
    <w:rsid w:val="00D90C86"/>
    <w:rsid w:val="00E23A53"/>
    <w:rsid w:val="00E33B40"/>
    <w:rsid w:val="00E66E8B"/>
    <w:rsid w:val="00E94D5F"/>
    <w:rsid w:val="00E9699F"/>
    <w:rsid w:val="00E97655"/>
    <w:rsid w:val="00EA28E6"/>
    <w:rsid w:val="00ED51B5"/>
    <w:rsid w:val="00EE738D"/>
    <w:rsid w:val="00F111CA"/>
    <w:rsid w:val="00F81F09"/>
    <w:rsid w:val="00F91B2F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CE59-F10E-4C90-AB8F-CA40E948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2</cp:revision>
  <cp:lastPrinted>2022-01-13T16:13:00Z</cp:lastPrinted>
  <dcterms:created xsi:type="dcterms:W3CDTF">2022-02-07T17:40:00Z</dcterms:created>
  <dcterms:modified xsi:type="dcterms:W3CDTF">2022-02-07T17:40:00Z</dcterms:modified>
</cp:coreProperties>
</file>