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556" w:rsidRPr="00AF1D93" w:rsidRDefault="009C3556" w:rsidP="00552CE5">
      <w:pPr>
        <w:tabs>
          <w:tab w:val="left" w:pos="1140"/>
        </w:tabs>
        <w:rPr>
          <w:rFonts w:cs="Times New Roman"/>
        </w:rPr>
      </w:pPr>
    </w:p>
    <w:p w:rsidR="009C3556" w:rsidRDefault="00503263" w:rsidP="00552CE5">
      <w:pPr>
        <w:ind w:left="2268"/>
        <w:rPr>
          <w:rFonts w:eastAsia="Times New Roman" w:cs="Times New Roman"/>
          <w:b/>
          <w:bCs/>
          <w:color w:val="000000"/>
          <w:lang w:eastAsia="pt-BR"/>
        </w:rPr>
      </w:pPr>
      <w:r>
        <w:rPr>
          <w:rFonts w:eastAsia="Times New Roman" w:cs="Times New Roman"/>
          <w:b/>
          <w:bCs/>
          <w:color w:val="000000"/>
          <w:lang w:eastAsia="pt-BR"/>
        </w:rPr>
        <w:t>ANTE</w:t>
      </w:r>
      <w:r w:rsidR="009C3556" w:rsidRPr="00AF1D93">
        <w:rPr>
          <w:rFonts w:eastAsia="Times New Roman" w:cs="Times New Roman"/>
          <w:b/>
          <w:bCs/>
          <w:color w:val="000000"/>
          <w:lang w:eastAsia="pt-BR"/>
        </w:rPr>
        <w:t>PROJETO DE LEI Nº </w:t>
      </w:r>
      <w:r w:rsidR="00AF1D93" w:rsidRPr="00AF1D93">
        <w:rPr>
          <w:rFonts w:eastAsia="Times New Roman" w:cs="Times New Roman"/>
          <w:b/>
          <w:bCs/>
          <w:color w:val="000000"/>
          <w:lang w:eastAsia="pt-BR"/>
        </w:rPr>
        <w:tab/>
      </w:r>
      <w:r w:rsidR="00AF1D93">
        <w:rPr>
          <w:rFonts w:eastAsia="Times New Roman" w:cs="Times New Roman"/>
          <w:b/>
          <w:bCs/>
          <w:color w:val="000000"/>
          <w:lang w:eastAsia="pt-BR"/>
        </w:rPr>
        <w:t xml:space="preserve">   </w:t>
      </w:r>
      <w:r w:rsidR="009C3556" w:rsidRPr="00AF1D93">
        <w:rPr>
          <w:rFonts w:eastAsia="Times New Roman" w:cs="Times New Roman"/>
          <w:b/>
          <w:bCs/>
          <w:color w:val="000000"/>
          <w:lang w:eastAsia="pt-BR"/>
        </w:rPr>
        <w:t>/20</w:t>
      </w:r>
      <w:r w:rsidR="00AF1D93" w:rsidRPr="00AF1D93">
        <w:rPr>
          <w:rFonts w:eastAsia="Times New Roman" w:cs="Times New Roman"/>
          <w:b/>
          <w:bCs/>
          <w:color w:val="000000"/>
          <w:lang w:eastAsia="pt-BR"/>
        </w:rPr>
        <w:t>2</w:t>
      </w:r>
      <w:r w:rsidR="00856C07">
        <w:rPr>
          <w:rFonts w:eastAsia="Times New Roman" w:cs="Times New Roman"/>
          <w:b/>
          <w:bCs/>
          <w:color w:val="000000"/>
          <w:lang w:eastAsia="pt-BR"/>
        </w:rPr>
        <w:t>2</w:t>
      </w:r>
    </w:p>
    <w:p w:rsidR="00AF1D93" w:rsidRDefault="00AF1D93" w:rsidP="00552CE5">
      <w:pPr>
        <w:jc w:val="center"/>
        <w:rPr>
          <w:rFonts w:eastAsia="Times New Roman" w:cs="Times New Roman"/>
          <w:b/>
          <w:bCs/>
          <w:color w:val="000000"/>
          <w:lang w:eastAsia="pt-BR"/>
        </w:rPr>
      </w:pPr>
    </w:p>
    <w:p w:rsidR="009C3556" w:rsidRPr="001A4A92" w:rsidRDefault="00AF1D93" w:rsidP="00552CE5">
      <w:pPr>
        <w:ind w:left="2268"/>
        <w:jc w:val="both"/>
        <w:rPr>
          <w:rFonts w:cs="Times New Roman"/>
          <w:b/>
          <w:bCs/>
        </w:rPr>
      </w:pPr>
      <w:r w:rsidRPr="001A4A92">
        <w:rPr>
          <w:rFonts w:cs="Times New Roman"/>
          <w:b/>
          <w:bCs/>
        </w:rPr>
        <w:t>DISPÕE SOBRE A ENTREGA GRATUITA DOMICILIAR DE MEDICAMENTOS DE USO CONTÍNUO ÀS PESSOAS COM DEFICIÊNCIA MOTORA, MULTIDEFICIÊNCIA PROFUNDA, COM DIFICULDADE DE LOCOMOÇÃO E IDOSOS.</w:t>
      </w:r>
    </w:p>
    <w:p w:rsidR="009C3556" w:rsidRPr="00AF1D93" w:rsidRDefault="009C3556" w:rsidP="00552CE5">
      <w:pPr>
        <w:jc w:val="both"/>
        <w:rPr>
          <w:rFonts w:cs="Times New Roman"/>
          <w:b/>
          <w:bCs/>
        </w:rPr>
      </w:pPr>
    </w:p>
    <w:p w:rsidR="009C3556" w:rsidRPr="00AF1D93" w:rsidRDefault="009C3556" w:rsidP="00552CE5">
      <w:pPr>
        <w:jc w:val="both"/>
        <w:rPr>
          <w:rFonts w:cs="Times New Roman"/>
          <w:b/>
          <w:bCs/>
        </w:rPr>
      </w:pPr>
    </w:p>
    <w:p w:rsidR="009C3556" w:rsidRPr="00AF1D93" w:rsidRDefault="009C3556" w:rsidP="00552CE5">
      <w:pPr>
        <w:jc w:val="both"/>
        <w:rPr>
          <w:rFonts w:cs="Times New Roman"/>
        </w:rPr>
      </w:pPr>
      <w:r w:rsidRPr="00AF1D93">
        <w:rPr>
          <w:rFonts w:cs="Times New Roman"/>
        </w:rPr>
        <w:t>Art. 1º Fica assegurado a distribuição gratuita em domicílio de medicamentos de uso contínuo às pessoas com deficiência motora, multideficiência profunda, com dificuldade de locomoção e idosos, que já se encontram cadastradas para recebimento de medicamento de uso contínuo na Secretaria Municipal de Saúde.</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2° Para efeitos desta lei considera-se pessoa com deficiência motora toda aquela que, por motivo de lesão, deformidade ou enfermidade, congênita ou adquirida, seja portadora de deficiência motora, ao nível dos membros inferiores ou superiores, de caráter permanente, desde que tal deficiência comprovadamente dificulte:</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I- </w:t>
      </w:r>
      <w:proofErr w:type="gramStart"/>
      <w:r w:rsidRPr="00AF1D93">
        <w:rPr>
          <w:rFonts w:cs="Times New Roman"/>
        </w:rPr>
        <w:t>a</w:t>
      </w:r>
      <w:proofErr w:type="gramEnd"/>
      <w:r w:rsidRPr="00AF1D93">
        <w:rPr>
          <w:rFonts w:cs="Times New Roman"/>
        </w:rPr>
        <w:t xml:space="preserve"> locomoção na via pública sem auxílio de outrem ou sem recursos de compensação, como próteses e órteses, cadeiras de rodas, muletas e bengalas;</w:t>
      </w:r>
    </w:p>
    <w:p w:rsidR="009C3556" w:rsidRPr="00AF1D93" w:rsidRDefault="009C3556" w:rsidP="00552CE5">
      <w:pPr>
        <w:jc w:val="both"/>
        <w:rPr>
          <w:rFonts w:cs="Times New Roman"/>
        </w:rPr>
      </w:pPr>
      <w:r w:rsidRPr="00AF1D93">
        <w:rPr>
          <w:rFonts w:cs="Times New Roman"/>
        </w:rPr>
        <w:t xml:space="preserve">II- </w:t>
      </w:r>
      <w:proofErr w:type="gramStart"/>
      <w:r w:rsidRPr="00AF1D93">
        <w:rPr>
          <w:rFonts w:cs="Times New Roman"/>
        </w:rPr>
        <w:t>o</w:t>
      </w:r>
      <w:proofErr w:type="gramEnd"/>
      <w:r w:rsidRPr="00AF1D93">
        <w:rPr>
          <w:rFonts w:cs="Times New Roman"/>
        </w:rPr>
        <w:t xml:space="preserve"> acesso ou utilização dos transportes públicos coletivos convencionais.</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3° Para efeitos desta lei considera-se pessoa com multideficiência profunda qualquer pessoa com deficiência motora que, para além de se encontrar nas condições referidas no art. 2°, possui cumulativamente deficiência sensorial, intelectual de caráter permanente.</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Art. 4° Para efeitos desta lei considera-se </w:t>
      </w:r>
      <w:r w:rsidR="00AF1D93" w:rsidRPr="00AF1D93">
        <w:rPr>
          <w:rFonts w:cs="Times New Roman"/>
        </w:rPr>
        <w:t>idosa a pessoa</w:t>
      </w:r>
      <w:r w:rsidRPr="00AF1D93">
        <w:rPr>
          <w:rFonts w:cs="Times New Roman"/>
        </w:rPr>
        <w:t xml:space="preserve"> com idade igual ou superior a 60 (sessenta) anos de idade.</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5° O cadastramento do usuário para receber medicamento de uso contínuo gratuitamente em seu domicílio será realizado nas Unidades Básicas de Saúde e nos Postos de Saúde da Família, sendo as informações constantes do formulário transcrito para cadastro eletrônico interligado entre as unidades.</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§1º Para recebimento do medicamento em domicílio, deverá ser observado os trâmites da Secretaria Municipal de Saúde para cadastramento do usuário de medicamento de uso contínuo; </w:t>
      </w:r>
    </w:p>
    <w:p w:rsidR="009C3556" w:rsidRPr="00AF1D93" w:rsidRDefault="009C3556" w:rsidP="00552CE5">
      <w:pPr>
        <w:ind w:left="425" w:firstLine="4252"/>
        <w:jc w:val="both"/>
        <w:rPr>
          <w:rFonts w:cs="Times New Roman"/>
        </w:rPr>
      </w:pPr>
    </w:p>
    <w:p w:rsidR="009C3556" w:rsidRPr="00AF1D93" w:rsidRDefault="009C3556" w:rsidP="00552CE5">
      <w:pPr>
        <w:jc w:val="both"/>
        <w:rPr>
          <w:rFonts w:cs="Times New Roman"/>
        </w:rPr>
      </w:pPr>
      <w:r w:rsidRPr="00AF1D93">
        <w:rPr>
          <w:rFonts w:cs="Times New Roman"/>
        </w:rPr>
        <w:t>§2º Em caso de impossibilidade de comparecer presencialmente à UBS e PSF, o cadastramento poderá ser realizado por procurador, através de instrumento particular de outorga de mandato, e no caso de incapazes por seu representante legal.</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6° São documentos necessários para o cadastramento:</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I- </w:t>
      </w:r>
      <w:proofErr w:type="gramStart"/>
      <w:r w:rsidRPr="00AF1D93">
        <w:rPr>
          <w:rFonts w:cs="Times New Roman"/>
        </w:rPr>
        <w:t>formulário</w:t>
      </w:r>
      <w:proofErr w:type="gramEnd"/>
      <w:r w:rsidRPr="00AF1D93">
        <w:rPr>
          <w:rFonts w:cs="Times New Roman"/>
        </w:rPr>
        <w:t xml:space="preserve"> de solicitação de auxílio de entrega domiciliar de medicamento de uso contínuo </w:t>
      </w:r>
      <w:r w:rsidRPr="00AF1D93">
        <w:rPr>
          <w:rFonts w:cs="Times New Roman"/>
        </w:rPr>
        <w:lastRenderedPageBreak/>
        <w:t>devidamente preenchido;</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II- </w:t>
      </w:r>
      <w:proofErr w:type="gramStart"/>
      <w:r w:rsidRPr="00AF1D93">
        <w:rPr>
          <w:rFonts w:cs="Times New Roman"/>
        </w:rPr>
        <w:t>declaração</w:t>
      </w:r>
      <w:proofErr w:type="gramEnd"/>
      <w:r w:rsidRPr="00AF1D93">
        <w:rPr>
          <w:rFonts w:cs="Times New Roman"/>
        </w:rPr>
        <w:t xml:space="preserve"> médica atestando a deficiência;</w:t>
      </w:r>
    </w:p>
    <w:p w:rsidR="009C3556" w:rsidRPr="00AF1D93" w:rsidRDefault="009C3556" w:rsidP="00552CE5">
      <w:pPr>
        <w:jc w:val="both"/>
        <w:rPr>
          <w:rFonts w:cs="Times New Roman"/>
        </w:rPr>
      </w:pPr>
      <w:r w:rsidRPr="00AF1D93">
        <w:rPr>
          <w:rFonts w:cs="Times New Roman"/>
        </w:rPr>
        <w:t>III- cópia do documento de identificação e CPF;</w:t>
      </w:r>
    </w:p>
    <w:p w:rsidR="009C3556" w:rsidRPr="00AF1D93" w:rsidRDefault="009C3556" w:rsidP="00552CE5">
      <w:pPr>
        <w:jc w:val="both"/>
        <w:rPr>
          <w:rFonts w:cs="Times New Roman"/>
        </w:rPr>
      </w:pPr>
      <w:r w:rsidRPr="00AF1D93">
        <w:rPr>
          <w:rFonts w:cs="Times New Roman"/>
        </w:rPr>
        <w:t xml:space="preserve">IV- </w:t>
      </w:r>
      <w:proofErr w:type="gramStart"/>
      <w:r w:rsidRPr="00AF1D93">
        <w:rPr>
          <w:rFonts w:cs="Times New Roman"/>
        </w:rPr>
        <w:t>comprovante</w:t>
      </w:r>
      <w:proofErr w:type="gramEnd"/>
      <w:r w:rsidRPr="00AF1D93">
        <w:rPr>
          <w:rFonts w:cs="Times New Roman"/>
        </w:rPr>
        <w:t xml:space="preserve"> de residência;</w:t>
      </w:r>
    </w:p>
    <w:p w:rsidR="009C3556" w:rsidRPr="00AF1D93" w:rsidRDefault="009C3556" w:rsidP="00552CE5">
      <w:pPr>
        <w:jc w:val="both"/>
        <w:rPr>
          <w:rFonts w:cs="Times New Roman"/>
        </w:rPr>
      </w:pPr>
      <w:r w:rsidRPr="00AF1D93">
        <w:rPr>
          <w:rFonts w:cs="Times New Roman"/>
        </w:rPr>
        <w:t xml:space="preserve">V- </w:t>
      </w:r>
      <w:proofErr w:type="gramStart"/>
      <w:r w:rsidRPr="00AF1D93">
        <w:rPr>
          <w:rFonts w:cs="Times New Roman"/>
        </w:rPr>
        <w:t>receita</w:t>
      </w:r>
      <w:proofErr w:type="gramEnd"/>
      <w:r w:rsidRPr="00AF1D93">
        <w:rPr>
          <w:rFonts w:cs="Times New Roman"/>
        </w:rPr>
        <w:t xml:space="preserve"> médica original do paciente contendo:</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a- </w:t>
      </w:r>
      <w:proofErr w:type="gramStart"/>
      <w:r w:rsidRPr="00AF1D93">
        <w:rPr>
          <w:rFonts w:cs="Times New Roman"/>
        </w:rPr>
        <w:t>nome</w:t>
      </w:r>
      <w:proofErr w:type="gramEnd"/>
      <w:r w:rsidRPr="00AF1D93">
        <w:rPr>
          <w:rFonts w:cs="Times New Roman"/>
        </w:rPr>
        <w:t xml:space="preserve"> do paciente;</w:t>
      </w:r>
    </w:p>
    <w:p w:rsidR="009C3556" w:rsidRPr="00AF1D93" w:rsidRDefault="009C3556" w:rsidP="00552CE5">
      <w:pPr>
        <w:jc w:val="both"/>
        <w:rPr>
          <w:rFonts w:cs="Times New Roman"/>
        </w:rPr>
      </w:pPr>
      <w:r w:rsidRPr="00AF1D93">
        <w:rPr>
          <w:rFonts w:cs="Times New Roman"/>
        </w:rPr>
        <w:t>b- nome, apresentação e dose diária da medicação;</w:t>
      </w:r>
    </w:p>
    <w:p w:rsidR="009C3556" w:rsidRPr="00AF1D93" w:rsidRDefault="009C3556" w:rsidP="00552CE5">
      <w:pPr>
        <w:jc w:val="both"/>
        <w:rPr>
          <w:rFonts w:cs="Times New Roman"/>
        </w:rPr>
      </w:pPr>
      <w:r w:rsidRPr="00AF1D93">
        <w:rPr>
          <w:rFonts w:cs="Times New Roman"/>
        </w:rPr>
        <w:t>c- assinatura e carimbo com o CRM do médico.</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7° O cadastramento somente será efetivado com a devida comprovação de que o cadastrado preenche os requisitos estabelecidos nesta lei.</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8° A partir do efetivo cadastramento, o cadastrado será automaticamente incluído no programa de entrega gratuita de medicamentos de uso contínuo.</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Art. 9° São medicamentos de uso contínuo aqueles empregados no tratamento de doenças crônicas e/ou degenerativas, utilizados continuamente, nos termos da Portaria n° 3.916/MS/GM, de 30 de outubro de 1998 e o Conselho Federal de Farmácia.</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b/>
          <w:bCs/>
          <w:color w:val="000000"/>
        </w:rPr>
      </w:pPr>
      <w:r w:rsidRPr="00AF1D93">
        <w:rPr>
          <w:rFonts w:cs="Times New Roman"/>
          <w:color w:val="000000"/>
        </w:rPr>
        <w:t>Art. 10 Poderão ser fornecidos medicamentos genéricos em substituição ao produto de marca, sempre que possível e de acordo com a Lei 9.787, de 10/02/99, regulamentada através do Decreto nº 3181, de 23/09/99.</w:t>
      </w:r>
      <w:r w:rsidRPr="00AF1D93">
        <w:rPr>
          <w:rFonts w:cs="Times New Roman"/>
          <w:b/>
          <w:bCs/>
          <w:color w:val="000000"/>
        </w:rPr>
        <w:t xml:space="preserve"> </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Art. 11 O medicamento que será entregue, deverá ser descrito na receita médica, não podendo haver substituição sem determinação do médico.</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Art. 12 O medicamento a ser entregue, obrigatoriamente, deverá ser suficiente para 1 (um) mês de uso continuo.</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 xml:space="preserve">Art. 13 A entrega será realizada, após cada prescrição médica apresentada na Unidade Básica de Saúde (UBS) e nos Postos de Saúde determinada dentro do prazo estipulado para término do medicamento. </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 xml:space="preserve">Art. 14 A validade máxima é de 6 (seis) meses, para a concessão do </w:t>
      </w:r>
      <w:r w:rsidR="00AF1D93" w:rsidRPr="00AF1D93">
        <w:rPr>
          <w:rFonts w:cs="Times New Roman"/>
          <w:color w:val="000000"/>
        </w:rPr>
        <w:t>benefício</w:t>
      </w:r>
      <w:r w:rsidRPr="00AF1D93">
        <w:rPr>
          <w:rFonts w:cs="Times New Roman"/>
          <w:color w:val="000000"/>
        </w:rPr>
        <w:t>, a qual poderá ser renovada por igual período sucessivamente, com a expedição de uma nova prescrição médica, a cada novo período, se necessário.</w:t>
      </w:r>
    </w:p>
    <w:p w:rsidR="009C3556" w:rsidRPr="00AF1D93" w:rsidRDefault="009C3556" w:rsidP="00552CE5">
      <w:pPr>
        <w:ind w:left="425" w:firstLine="4252"/>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Art. 15 A entrega do medicamento não poderá ser interrompida sem a autorização do médico, em hipótese alguma. Caso seja interrompida a entrega do medicamento sem autorização médica, os responsáveis pela interrupção do fornecimento ficarão sujeitos às penalidades previstas no Estatuto do Servidor.</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Art. 16 Cessará a entrega do medicamento de uso contínuo quando:</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 xml:space="preserve">I- terminar o prazo de 6 (seis) meses da data da prescrição médica, sem que haja sido renovada a entrega </w:t>
      </w:r>
      <w:proofErr w:type="gramStart"/>
      <w:r w:rsidRPr="00AF1D93">
        <w:rPr>
          <w:rFonts w:cs="Times New Roman"/>
          <w:color w:val="000000"/>
        </w:rPr>
        <w:t>com  nova</w:t>
      </w:r>
      <w:proofErr w:type="gramEnd"/>
      <w:r w:rsidRPr="00AF1D93">
        <w:rPr>
          <w:rFonts w:cs="Times New Roman"/>
          <w:color w:val="000000"/>
        </w:rPr>
        <w:t xml:space="preserve"> prescrição.</w:t>
      </w:r>
    </w:p>
    <w:p w:rsidR="009C3556" w:rsidRPr="00AF1D93" w:rsidRDefault="009C3556" w:rsidP="00552CE5">
      <w:pPr>
        <w:jc w:val="both"/>
        <w:rPr>
          <w:rFonts w:cs="Times New Roman"/>
          <w:color w:val="000000"/>
        </w:rPr>
      </w:pPr>
      <w:r w:rsidRPr="00AF1D93">
        <w:rPr>
          <w:rFonts w:cs="Times New Roman"/>
          <w:color w:val="000000"/>
        </w:rPr>
        <w:t xml:space="preserve">II- </w:t>
      </w:r>
      <w:proofErr w:type="gramStart"/>
      <w:r w:rsidRPr="00AF1D93">
        <w:rPr>
          <w:rFonts w:cs="Times New Roman"/>
          <w:color w:val="000000"/>
        </w:rPr>
        <w:t>quando</w:t>
      </w:r>
      <w:proofErr w:type="gramEnd"/>
      <w:r w:rsidRPr="00AF1D93">
        <w:rPr>
          <w:rFonts w:cs="Times New Roman"/>
          <w:color w:val="000000"/>
        </w:rPr>
        <w:t xml:space="preserve"> o médico solicitar através de prescrição médica que o paciente não necessita mais fazer uso do medicamento.</w:t>
      </w:r>
    </w:p>
    <w:p w:rsidR="009C3556" w:rsidRPr="00AF1D93" w:rsidRDefault="009C3556" w:rsidP="00552CE5">
      <w:pPr>
        <w:jc w:val="both"/>
        <w:rPr>
          <w:rFonts w:cs="Times New Roman"/>
          <w:color w:val="000000"/>
        </w:rPr>
      </w:pPr>
      <w:r w:rsidRPr="00AF1D93">
        <w:rPr>
          <w:rFonts w:cs="Times New Roman"/>
          <w:color w:val="000000"/>
        </w:rPr>
        <w:t>III- quando for detectada fraude na concessão do benefício, restando seus autores sujeitos a responder por seus atos judicialmente.</w:t>
      </w:r>
    </w:p>
    <w:p w:rsidR="009C3556" w:rsidRPr="00AF1D93" w:rsidRDefault="009C3556" w:rsidP="00552CE5">
      <w:pPr>
        <w:jc w:val="both"/>
        <w:rPr>
          <w:rFonts w:cs="Times New Roman"/>
          <w:color w:val="000000"/>
        </w:rPr>
      </w:pPr>
    </w:p>
    <w:p w:rsidR="009C3556" w:rsidRDefault="009C3556" w:rsidP="00552CE5">
      <w:pPr>
        <w:jc w:val="both"/>
        <w:rPr>
          <w:rFonts w:cs="Times New Roman"/>
          <w:color w:val="000000"/>
        </w:rPr>
      </w:pPr>
      <w:r w:rsidRPr="00AF1D93">
        <w:rPr>
          <w:rFonts w:cs="Times New Roman"/>
          <w:color w:val="000000"/>
        </w:rPr>
        <w:t>Art. 17 Serão responsáveis pelo fornecimento dos medicamentos</w:t>
      </w:r>
      <w:r w:rsidR="001A4A92">
        <w:rPr>
          <w:rFonts w:cs="Times New Roman"/>
          <w:color w:val="000000"/>
        </w:rPr>
        <w:t xml:space="preserve"> os a</w:t>
      </w:r>
      <w:r w:rsidRPr="00AF1D93">
        <w:rPr>
          <w:rFonts w:cs="Times New Roman"/>
          <w:color w:val="000000"/>
        </w:rPr>
        <w:t xml:space="preserve">gentes de saúde dos </w:t>
      </w:r>
      <w:proofErr w:type="spellStart"/>
      <w:r w:rsidRPr="00AF1D93">
        <w:rPr>
          <w:rFonts w:cs="Times New Roman"/>
          <w:color w:val="000000"/>
        </w:rPr>
        <w:t>ESF’s</w:t>
      </w:r>
      <w:proofErr w:type="spellEnd"/>
      <w:r w:rsidRPr="00AF1D93">
        <w:rPr>
          <w:rFonts w:cs="Times New Roman"/>
          <w:color w:val="000000"/>
        </w:rPr>
        <w:t xml:space="preserve"> (Estratégia de Saúde da Família) dos respectivos bairros</w:t>
      </w:r>
      <w:r w:rsidR="001A4A92">
        <w:rPr>
          <w:rFonts w:cs="Times New Roman"/>
          <w:color w:val="000000"/>
        </w:rPr>
        <w:t>.</w:t>
      </w:r>
    </w:p>
    <w:p w:rsidR="001A4A92" w:rsidRDefault="001A4A92" w:rsidP="00552CE5">
      <w:pPr>
        <w:jc w:val="both"/>
        <w:rPr>
          <w:rFonts w:cs="Times New Roman"/>
          <w:color w:val="000000"/>
        </w:rPr>
      </w:pPr>
    </w:p>
    <w:p w:rsidR="001A4A92" w:rsidRDefault="001A4A92" w:rsidP="00552CE5">
      <w:pPr>
        <w:jc w:val="both"/>
        <w:rPr>
          <w:rFonts w:cs="Times New Roman"/>
          <w:color w:val="000000"/>
        </w:rPr>
      </w:pPr>
      <w:r>
        <w:rPr>
          <w:rFonts w:cs="Times New Roman"/>
          <w:color w:val="000000"/>
        </w:rPr>
        <w:t>Parágrafo único. Poderá o município, a depender do interesse e necessidade, celebrar convênio ou contrato com empresa para entregar os medicamentos.</w:t>
      </w:r>
    </w:p>
    <w:p w:rsidR="001A4A92" w:rsidRPr="00AF1D93" w:rsidRDefault="001A4A92"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Art. 18 A presente lei deverá ser regulamentada pelo Poder Executivo no prazo de até (60) sessenta dias após sua publicação.</w:t>
      </w:r>
    </w:p>
    <w:p w:rsidR="009C3556" w:rsidRPr="00AF1D93" w:rsidRDefault="009C3556" w:rsidP="00552CE5">
      <w:pPr>
        <w:jc w:val="both"/>
        <w:rPr>
          <w:rFonts w:cs="Times New Roman"/>
          <w:color w:val="000000"/>
        </w:rPr>
      </w:pPr>
    </w:p>
    <w:p w:rsidR="009C3556" w:rsidRPr="00AF1D93" w:rsidRDefault="009C3556" w:rsidP="00552CE5">
      <w:pPr>
        <w:jc w:val="both"/>
        <w:rPr>
          <w:rFonts w:cs="Times New Roman"/>
          <w:color w:val="000000"/>
        </w:rPr>
      </w:pPr>
      <w:r w:rsidRPr="00AF1D93">
        <w:rPr>
          <w:rFonts w:cs="Times New Roman"/>
          <w:color w:val="000000"/>
        </w:rPr>
        <w:t xml:space="preserve">Art. </w:t>
      </w:r>
      <w:r w:rsidR="001A4A92">
        <w:rPr>
          <w:rFonts w:cs="Times New Roman"/>
          <w:color w:val="000000"/>
        </w:rPr>
        <w:t>19</w:t>
      </w:r>
      <w:r w:rsidRPr="00AF1D93">
        <w:rPr>
          <w:rFonts w:cs="Times New Roman"/>
          <w:color w:val="000000"/>
        </w:rPr>
        <w:t xml:space="preserve"> Esta Lei entra em vigor na data de sua publicação.</w:t>
      </w:r>
    </w:p>
    <w:p w:rsidR="009C3556" w:rsidRDefault="009C3556" w:rsidP="00552CE5">
      <w:pPr>
        <w:jc w:val="both"/>
        <w:rPr>
          <w:rFonts w:cs="Times New Roman"/>
          <w:b/>
          <w:bCs/>
        </w:rPr>
      </w:pPr>
    </w:p>
    <w:p w:rsidR="00270C32" w:rsidRPr="00AF1D93" w:rsidRDefault="00270C32" w:rsidP="00552CE5">
      <w:pPr>
        <w:jc w:val="both"/>
        <w:rPr>
          <w:rFonts w:cs="Times New Roman"/>
          <w:b/>
          <w:bCs/>
        </w:rPr>
      </w:pPr>
    </w:p>
    <w:p w:rsidR="00856C07" w:rsidRDefault="00856C07" w:rsidP="00856C07">
      <w:pPr>
        <w:pStyle w:val="NormalWeb"/>
        <w:spacing w:line="360" w:lineRule="auto"/>
        <w:jc w:val="center"/>
      </w:pPr>
      <w:r>
        <w:t>Sete Lagoas/MG, 01 de janeiro de 2022.</w:t>
      </w:r>
    </w:p>
    <w:p w:rsidR="00AF1D93" w:rsidRDefault="00AF1D93" w:rsidP="00552CE5">
      <w:pPr>
        <w:jc w:val="center"/>
        <w:rPr>
          <w:rFonts w:cs="Times New Roman"/>
          <w:b/>
          <w:bCs/>
        </w:rPr>
      </w:pPr>
      <w:bookmarkStart w:id="0" w:name="_GoBack"/>
      <w:bookmarkEnd w:id="0"/>
    </w:p>
    <w:p w:rsidR="00AF1D93" w:rsidRPr="00AF1D93" w:rsidRDefault="00503263" w:rsidP="00552CE5">
      <w:pPr>
        <w:jc w:val="center"/>
        <w:rPr>
          <w:rFonts w:cs="Times New Roman"/>
          <w:b/>
          <w:bCs/>
        </w:rPr>
      </w:pPr>
      <w:r>
        <w:rPr>
          <w:rFonts w:eastAsia="Times New Roman" w:cs="Times New Roman"/>
          <w:b/>
          <w:bCs/>
          <w:i/>
          <w:iCs/>
          <w:noProof/>
          <w:u w:val="single"/>
        </w:rPr>
        <w:drawing>
          <wp:anchor distT="0" distB="0" distL="114300" distR="114300" simplePos="0" relativeHeight="251658240" behindDoc="0" locked="0" layoutInCell="1" allowOverlap="1">
            <wp:simplePos x="0" y="0"/>
            <wp:positionH relativeFrom="margin">
              <wp:align>center</wp:align>
            </wp:positionH>
            <wp:positionV relativeFrom="paragraph">
              <wp:posOffset>24765</wp:posOffset>
            </wp:positionV>
            <wp:extent cx="3238500" cy="6858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t="16513" b="17432"/>
                    <a:stretch>
                      <a:fillRect/>
                    </a:stretch>
                  </pic:blipFill>
                  <pic:spPr bwMode="auto">
                    <a:xfrm>
                      <a:off x="0" y="0"/>
                      <a:ext cx="3238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556" w:rsidRPr="00AF1D93" w:rsidRDefault="009C3556" w:rsidP="00552CE5">
      <w:pPr>
        <w:jc w:val="center"/>
        <w:rPr>
          <w:rFonts w:eastAsia="Times New Roman" w:cs="Times New Roman"/>
          <w:b/>
          <w:bCs/>
          <w:i/>
          <w:iCs/>
          <w:u w:val="single"/>
        </w:rPr>
      </w:pPr>
      <w:r w:rsidRPr="00AF1D93">
        <w:rPr>
          <w:rFonts w:eastAsia="Times New Roman" w:cs="Times New Roman"/>
          <w:b/>
          <w:bCs/>
          <w:i/>
          <w:iCs/>
          <w:u w:val="single"/>
        </w:rPr>
        <w:br w:type="page"/>
      </w:r>
    </w:p>
    <w:p w:rsidR="009C3556" w:rsidRPr="001A4A92" w:rsidRDefault="009C3556" w:rsidP="00552CE5">
      <w:pPr>
        <w:jc w:val="center"/>
        <w:rPr>
          <w:rFonts w:eastAsia="Times New Roman" w:cs="Times New Roman"/>
          <w:iCs/>
          <w:u w:val="single"/>
        </w:rPr>
      </w:pPr>
      <w:r w:rsidRPr="001A4A92">
        <w:rPr>
          <w:rFonts w:eastAsia="Times New Roman" w:cs="Times New Roman"/>
          <w:b/>
          <w:bCs/>
          <w:iCs/>
          <w:u w:val="single"/>
        </w:rPr>
        <w:lastRenderedPageBreak/>
        <w:t xml:space="preserve"> JUSTIFICATIVA</w:t>
      </w:r>
    </w:p>
    <w:p w:rsidR="009C3556" w:rsidRPr="00AF1D93" w:rsidRDefault="009C3556" w:rsidP="00552CE5">
      <w:pPr>
        <w:jc w:val="center"/>
        <w:rPr>
          <w:rFonts w:eastAsia="Times New Roman" w:cs="Times New Roman"/>
          <w:i/>
          <w:iCs/>
          <w:u w:val="single"/>
        </w:rPr>
      </w:pPr>
    </w:p>
    <w:p w:rsidR="009C3556" w:rsidRPr="00AF1D93" w:rsidRDefault="009C3556" w:rsidP="00552CE5">
      <w:pPr>
        <w:jc w:val="both"/>
        <w:rPr>
          <w:rFonts w:cs="Times New Roman"/>
        </w:rPr>
      </w:pPr>
      <w:r w:rsidRPr="00AF1D93">
        <w:rPr>
          <w:rFonts w:cs="Times New Roman"/>
        </w:rPr>
        <w:t>O presente</w:t>
      </w:r>
      <w:r w:rsidR="001A4A92">
        <w:rPr>
          <w:rFonts w:cs="Times New Roman"/>
        </w:rPr>
        <w:t xml:space="preserve"> </w:t>
      </w:r>
      <w:r w:rsidR="00503263">
        <w:rPr>
          <w:rFonts w:cs="Times New Roman"/>
        </w:rPr>
        <w:t>ante</w:t>
      </w:r>
      <w:r w:rsidRPr="00AF1D93">
        <w:rPr>
          <w:rFonts w:cs="Times New Roman"/>
        </w:rPr>
        <w:t xml:space="preserve">projeto de lei visa assegurar a pessoa com dificuldade de locomoção e idosos o recebimento gratuito, em sua residência, de medicamentos de uso contínuo cuja distribuição </w:t>
      </w:r>
      <w:r w:rsidR="00AF1D93">
        <w:rPr>
          <w:rFonts w:cs="Times New Roman"/>
        </w:rPr>
        <w:t>já é</w:t>
      </w:r>
      <w:r w:rsidRPr="00AF1D93">
        <w:rPr>
          <w:rFonts w:cs="Times New Roman"/>
        </w:rPr>
        <w:t xml:space="preserve"> feita pela Secretaria Municipal de Saúde.</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 A saúde e a assistência social são direitos assegurados na Carta Magna. A Constituição Federal é categórica ao afirmar, no artigo 196, que a saúde é direito de todos e dever do Estado, garantidos mediante políticas sociais e econômicas que visem a redução do risco de doenças e de outros agravos ao acesso universal e igualitário as ações e serviços para a sua promoção, proteção e recuperação. </w:t>
      </w:r>
    </w:p>
    <w:p w:rsidR="009C3556" w:rsidRPr="00AF1D93" w:rsidRDefault="009C3556" w:rsidP="00552CE5">
      <w:pPr>
        <w:jc w:val="both"/>
        <w:rPr>
          <w:rFonts w:cs="Times New Roman"/>
        </w:rPr>
      </w:pPr>
    </w:p>
    <w:p w:rsidR="009C3556" w:rsidRPr="00AF1D93" w:rsidRDefault="009C3556" w:rsidP="00552CE5">
      <w:pPr>
        <w:jc w:val="both"/>
        <w:rPr>
          <w:rFonts w:cs="Times New Roman"/>
        </w:rPr>
      </w:pPr>
      <w:r w:rsidRPr="00AF1D93">
        <w:rPr>
          <w:rFonts w:cs="Times New Roman"/>
        </w:rPr>
        <w:t xml:space="preserve">Reconhece, ainda, que a organização das ações e serviços públicos de saúde deve observar a diretriz do atendimento integral, com prioridade para as atividades preventivas e serviços assistenciais. Simultaneamente aos aspectos legais e sociais, há de se enfocar, em especial o caráter altamente humanitário do anteprojeto, pois este irá aliviar o sofrimento daquelas pessoas idosas e com dificuldades de locomoção assim declaradas pelo </w:t>
      </w:r>
      <w:r w:rsidR="00AF1D93" w:rsidRPr="00AF1D93">
        <w:rPr>
          <w:rFonts w:cs="Times New Roman"/>
        </w:rPr>
        <w:t>médico</w:t>
      </w:r>
      <w:r w:rsidRPr="00AF1D93">
        <w:rPr>
          <w:rFonts w:cs="Times New Roman"/>
        </w:rPr>
        <w:t xml:space="preserve"> que prescreve o medicamento. </w:t>
      </w:r>
    </w:p>
    <w:p w:rsidR="009C3556" w:rsidRPr="00AF1D93" w:rsidRDefault="009C3556" w:rsidP="00552CE5">
      <w:pPr>
        <w:jc w:val="both"/>
        <w:rPr>
          <w:rFonts w:cs="Times New Roman"/>
        </w:rPr>
      </w:pPr>
    </w:p>
    <w:p w:rsidR="009C3556" w:rsidRDefault="009C3556" w:rsidP="00552CE5">
      <w:pPr>
        <w:jc w:val="both"/>
        <w:rPr>
          <w:rFonts w:cs="Times New Roman"/>
        </w:rPr>
      </w:pPr>
      <w:r w:rsidRPr="00AF1D93">
        <w:rPr>
          <w:rFonts w:cs="Times New Roman"/>
        </w:rPr>
        <w:t>É fato que, situações simples do dia-a-dia podem se tornar um tormento para as pessoas idosas e as com dificuldades de locomoção, sendo, portanto, importante a implantação desta proposta para a garantia da saúde das mesmas, em especial para evitar que fiquem privados do seu direito essencial a saúde, resguardando desta forma suas próprias dignidades como seres humanos.</w:t>
      </w:r>
    </w:p>
    <w:p w:rsidR="00AF1D93" w:rsidRDefault="00AF1D93" w:rsidP="00552CE5">
      <w:pPr>
        <w:jc w:val="both"/>
        <w:rPr>
          <w:rFonts w:eastAsia="Times New Roman" w:cs="Times New Roman"/>
        </w:rPr>
      </w:pPr>
    </w:p>
    <w:p w:rsidR="00AF1D93" w:rsidRDefault="00AF1D93" w:rsidP="00552CE5">
      <w:pPr>
        <w:jc w:val="both"/>
        <w:rPr>
          <w:rFonts w:eastAsia="Times New Roman" w:cs="Times New Roman"/>
        </w:rPr>
      </w:pPr>
      <w:r>
        <w:rPr>
          <w:rFonts w:eastAsia="Times New Roman" w:cs="Times New Roman"/>
        </w:rPr>
        <w:t xml:space="preserve">Além do mais, o presente </w:t>
      </w:r>
      <w:r w:rsidR="00503263">
        <w:rPr>
          <w:rFonts w:eastAsia="Times New Roman" w:cs="Times New Roman"/>
        </w:rPr>
        <w:t>ante</w:t>
      </w:r>
      <w:r>
        <w:rPr>
          <w:rFonts w:eastAsia="Times New Roman" w:cs="Times New Roman"/>
        </w:rPr>
        <w:t xml:space="preserve">projeto não gera gastos, a princípio, para o município, tendo em vista que tais pessoas já recebem visitas regulares dos agentes dos </w:t>
      </w:r>
      <w:proofErr w:type="spellStart"/>
      <w:r>
        <w:rPr>
          <w:rFonts w:eastAsia="Times New Roman" w:cs="Times New Roman"/>
        </w:rPr>
        <w:t>ESF’s</w:t>
      </w:r>
      <w:proofErr w:type="spellEnd"/>
      <w:r>
        <w:rPr>
          <w:rFonts w:eastAsia="Times New Roman" w:cs="Times New Roman"/>
        </w:rPr>
        <w:t>, sendo que nessa oportunidade os medicamentos podem ser entregues.</w:t>
      </w:r>
    </w:p>
    <w:p w:rsidR="00552CE5" w:rsidRDefault="00552CE5" w:rsidP="00552CE5">
      <w:pPr>
        <w:jc w:val="both"/>
        <w:rPr>
          <w:rFonts w:eastAsia="Times New Roman" w:cs="Times New Roman"/>
        </w:rPr>
      </w:pPr>
    </w:p>
    <w:p w:rsidR="00552CE5" w:rsidRPr="00552CE5" w:rsidRDefault="00552CE5" w:rsidP="00552CE5">
      <w:pPr>
        <w:jc w:val="both"/>
        <w:rPr>
          <w:rFonts w:cs="Times New Roman"/>
        </w:rPr>
      </w:pPr>
      <w:r>
        <w:rPr>
          <w:rFonts w:cs="Times New Roman"/>
        </w:rPr>
        <w:t>Diante disso, pugno aos vereadores a aprovação do presente projeto de Lei.</w:t>
      </w:r>
    </w:p>
    <w:p w:rsidR="00933F05" w:rsidRPr="00AF1D93" w:rsidRDefault="00933F05" w:rsidP="00552CE5">
      <w:pPr>
        <w:rPr>
          <w:rFonts w:cs="Times New Roman"/>
        </w:rPr>
      </w:pPr>
    </w:p>
    <w:sectPr w:rsidR="00933F05" w:rsidRPr="00AF1D93">
      <w:headerReference w:type="default" r:id="rId8"/>
      <w:footerReference w:type="default" r:id="rId9"/>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423" w:rsidRDefault="00EC3423">
      <w:r>
        <w:separator/>
      </w:r>
    </w:p>
  </w:endnote>
  <w:endnote w:type="continuationSeparator" w:id="0">
    <w:p w:rsidR="00EC3423" w:rsidRDefault="00EC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altName w:val="MS Gothic"/>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RW Bookman L">
    <w:altName w:val="MS Gothic"/>
    <w:charset w:val="00"/>
    <w:family w:val="auto"/>
    <w:pitch w:val="variable"/>
  </w:font>
  <w:font w:name="Arial">
    <w:panose1 w:val="020B0604020202020204"/>
    <w:charset w:val="00"/>
    <w:family w:val="swiss"/>
    <w:pitch w:val="variable"/>
    <w:sig w:usb0="E0002EFF" w:usb1="C000785B" w:usb2="00000009" w:usb3="00000000" w:csb0="000001FF" w:csb1="00000000"/>
  </w:font>
  <w:font w:name="Century Schoolbook L">
    <w:altName w:val="MS Gothic"/>
    <w:charset w:val="00"/>
    <w:family w:val="roman"/>
    <w:pitch w:val="variable"/>
  </w:font>
  <w:font w:name="Bitstream Charter">
    <w:altName w:val="MS Gothic"/>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856C07">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A63D7D" w:rsidRDefault="004406A1">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A63D7D" w:rsidRDefault="004406A1">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202 – São Geraldo – Sete Lagoas / MG – CEP.: 35700-177</w:t>
    </w:r>
  </w:p>
  <w:p w:rsidR="00A63D7D" w:rsidRDefault="004406A1">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 xml:space="preserve">e mail.: </w:t>
    </w:r>
    <w:hyperlink r:id="rId1" w:history="1">
      <w:r>
        <w:rPr>
          <w:rStyle w:val="Hyperlink"/>
          <w:rFonts w:ascii="Bitstream Charter" w:eastAsia="Times New Roman" w:hAnsi="Bitstream Charter" w:cs="Bitstream Charter"/>
          <w:b/>
          <w:bCs/>
          <w:color w:val="000080"/>
          <w:sz w:val="18"/>
          <w:szCs w:val="20"/>
        </w:rPr>
        <w:t>p</w:t>
      </w:r>
    </w:hyperlink>
    <w:hyperlink r:id="rId2" w:history="1">
      <w:r>
        <w:rPr>
          <w:rStyle w:val="Hyperlink"/>
          <w:rFonts w:ascii="Bitstream Charter" w:eastAsia="Times New Roman" w:hAnsi="Bitstream Charter" w:cs="Bitstream Charter"/>
          <w:b/>
          <w:bCs/>
          <w:color w:val="000080"/>
          <w:sz w:val="18"/>
          <w:szCs w:val="20"/>
        </w:rPr>
        <w:t>astor</w:t>
      </w:r>
    </w:hyperlink>
    <w:hyperlink r:id="rId3" w:history="1">
      <w:r>
        <w:rPr>
          <w:rStyle w:val="Hyperlink"/>
          <w:rFonts w:ascii="Bitstream Charter" w:eastAsia="Times New Roman" w:hAnsi="Bitstream Charter" w:cs="Bitstream Charter"/>
          <w:b/>
          <w:bCs/>
          <w:color w:val="000080"/>
          <w:sz w:val="18"/>
          <w:szCs w:val="20"/>
        </w:rPr>
        <w:t>.alcides@camarasete.mg.</w:t>
      </w:r>
    </w:hyperlink>
    <w:hyperlink r:id="rId4" w:history="1">
      <w:r>
        <w:rPr>
          <w:rStyle w:val="Hyperlink"/>
          <w:rFonts w:ascii="Bitstream Charter" w:eastAsia="Times New Roman" w:hAnsi="Bitstream Charter" w:cs="Bitstream Charter"/>
          <w:b/>
          <w:bCs/>
          <w:color w:val="000080"/>
          <w:sz w:val="18"/>
          <w:szCs w:val="20"/>
        </w:rPr>
        <w:t>gov.</w:t>
      </w:r>
    </w:hyperlink>
    <w:hyperlink r:id="rId5" w:history="1">
      <w:r>
        <w:rPr>
          <w:rStyle w:val="Hyperlink"/>
          <w:rFonts w:ascii="Bitstream Charter" w:eastAsia="Times New Roman" w:hAnsi="Bitstream Charter" w:cs="Bitstream Charter"/>
          <w:b/>
          <w:bCs/>
          <w:color w:val="000080"/>
          <w:sz w:val="18"/>
          <w:szCs w:val="20"/>
        </w:rPr>
        <w:t>br</w:t>
      </w:r>
    </w:hyperlink>
    <w:r>
      <w:rPr>
        <w:rFonts w:ascii="Bitstream Charter" w:eastAsia="Times New Roman" w:hAnsi="Bitstream Charter" w:cs="Bitstream Charter"/>
        <w:b/>
        <w:bCs/>
        <w:sz w:val="18"/>
        <w:szCs w:val="20"/>
      </w:rPr>
      <w:t xml:space="preserve"> / Fones: (031) 3779-6321 - 3779-6322</w:t>
    </w:r>
  </w:p>
  <w:p w:rsidR="00A63D7D" w:rsidRDefault="00856C07">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423" w:rsidRDefault="00EC3423">
      <w:r>
        <w:rPr>
          <w:color w:val="000000"/>
        </w:rPr>
        <w:separator/>
      </w:r>
    </w:p>
  </w:footnote>
  <w:footnote w:type="continuationSeparator" w:id="0">
    <w:p w:rsidR="00EC3423" w:rsidRDefault="00EC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4406A1">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4"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A63D7D" w:rsidRDefault="004406A1">
    <w:pPr>
      <w:pStyle w:val="Standard"/>
      <w:jc w:val="center"/>
    </w:pPr>
    <w:r>
      <w:rPr>
        <w:rFonts w:ascii="URW Bookman L" w:hAnsi="URW Bookman L" w:cs="URW Bookman L"/>
        <w:b/>
        <w:bCs/>
        <w:sz w:val="34"/>
        <w:szCs w:val="34"/>
      </w:rPr>
      <w:t>CÂMARA MUNICIPAL DE SETE LAGOAS-MG</w:t>
    </w:r>
  </w:p>
  <w:p w:rsidR="00A63D7D" w:rsidRDefault="004406A1">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A63D7D" w:rsidRDefault="004406A1">
    <w:pPr>
      <w:pStyle w:val="Cabealho"/>
    </w:pPr>
    <w:r>
      <w:t>_______________________________________________________________</w:t>
    </w:r>
  </w:p>
  <w:p w:rsidR="00A63D7D" w:rsidRDefault="00856C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F85"/>
    <w:multiLevelType w:val="hybridMultilevel"/>
    <w:tmpl w:val="AA30A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EE3E6D"/>
    <w:multiLevelType w:val="hybridMultilevel"/>
    <w:tmpl w:val="5412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3F6BD8"/>
    <w:multiLevelType w:val="hybridMultilevel"/>
    <w:tmpl w:val="0018FFE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5D0A1574"/>
    <w:multiLevelType w:val="hybridMultilevel"/>
    <w:tmpl w:val="805E136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7114864"/>
    <w:multiLevelType w:val="multilevel"/>
    <w:tmpl w:val="C26A0A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B0EE9"/>
    <w:multiLevelType w:val="multilevel"/>
    <w:tmpl w:val="51769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B0519"/>
    <w:multiLevelType w:val="multilevel"/>
    <w:tmpl w:val="A0BE0FE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05"/>
    <w:rsid w:val="000703BB"/>
    <w:rsid w:val="00086DE1"/>
    <w:rsid w:val="001A4A92"/>
    <w:rsid w:val="001D6ABE"/>
    <w:rsid w:val="002626C0"/>
    <w:rsid w:val="00266D5E"/>
    <w:rsid w:val="00270C32"/>
    <w:rsid w:val="002D60B7"/>
    <w:rsid w:val="00357AAC"/>
    <w:rsid w:val="003A14A8"/>
    <w:rsid w:val="004406A1"/>
    <w:rsid w:val="004C714F"/>
    <w:rsid w:val="004F0626"/>
    <w:rsid w:val="00503263"/>
    <w:rsid w:val="00552CE5"/>
    <w:rsid w:val="007C19CE"/>
    <w:rsid w:val="007D1943"/>
    <w:rsid w:val="00856C07"/>
    <w:rsid w:val="008A1D2D"/>
    <w:rsid w:val="00933F05"/>
    <w:rsid w:val="00952B31"/>
    <w:rsid w:val="00991193"/>
    <w:rsid w:val="009C3556"/>
    <w:rsid w:val="009D146A"/>
    <w:rsid w:val="00A6670C"/>
    <w:rsid w:val="00AA1BCF"/>
    <w:rsid w:val="00AB7A4F"/>
    <w:rsid w:val="00AF1D93"/>
    <w:rsid w:val="00B51F75"/>
    <w:rsid w:val="00B80DE8"/>
    <w:rsid w:val="00D60847"/>
    <w:rsid w:val="00D81F51"/>
    <w:rsid w:val="00E624EE"/>
    <w:rsid w:val="00E752C4"/>
    <w:rsid w:val="00EC3423"/>
    <w:rsid w:val="00FA11FE"/>
    <w:rsid w:val="00FB5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12C9"/>
  <w15:docId w15:val="{A518E85B-C2B6-4718-B364-CE5873C8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rPr>
      <w:color w:val="0000FF"/>
      <w:u w:val="single"/>
    </w:rPr>
  </w:style>
  <w:style w:type="paragraph" w:customStyle="1" w:styleId="western">
    <w:name w:val="western"/>
    <w:basedOn w:val="Normal"/>
    <w:pPr>
      <w:widowControl/>
      <w:suppressAutoHyphens w:val="0"/>
      <w:spacing w:before="100" w:after="100"/>
      <w:textAlignment w:val="auto"/>
    </w:pPr>
    <w:rPr>
      <w:rFonts w:eastAsia="Times New Roman" w:cs="Times New Roman"/>
      <w:kern w:val="0"/>
      <w:lang w:eastAsia="pt-BR" w:bidi="ar-SA"/>
    </w:rPr>
  </w:style>
  <w:style w:type="paragraph" w:styleId="NormalWeb">
    <w:name w:val="Normal (Web)"/>
    <w:basedOn w:val="Normal"/>
    <w:uiPriority w:val="99"/>
    <w:semiHidden/>
    <w:unhideWhenUsed/>
    <w:rsid w:val="00856C07"/>
    <w:pPr>
      <w:widowControl/>
      <w:suppressAutoHyphens w:val="0"/>
      <w:autoSpaceDN/>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06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alcides@camarasete.gov.mg.br" TargetMode="External"/><Relationship Id="rId2" Type="http://schemas.openxmlformats.org/officeDocument/2006/relationships/hyperlink" Target="mailto:pr.alcides@camarasete.gov.mg.br" TargetMode="External"/><Relationship Id="rId1" Type="http://schemas.openxmlformats.org/officeDocument/2006/relationships/hyperlink" Target="mailto:pr.alcides@camarasete.gov.mg.br" TargetMode="External"/><Relationship Id="rId5" Type="http://schemas.openxmlformats.org/officeDocument/2006/relationships/hyperlink" Target="mailto:pr.alcides@camarasete.gov.mg.br" TargetMode="External"/><Relationship Id="rId4" Type="http://schemas.openxmlformats.org/officeDocument/2006/relationships/hyperlink" Target="mailto:pr.alcides@camarasete.gov.m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1116</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dc:description/>
  <cp:lastModifiedBy>MIKAELA KAROLINE ALVES DE SOUZA</cp:lastModifiedBy>
  <cp:revision>8</cp:revision>
  <cp:lastPrinted>2020-07-09T18:11:00Z</cp:lastPrinted>
  <dcterms:created xsi:type="dcterms:W3CDTF">2020-12-01T18:44:00Z</dcterms:created>
  <dcterms:modified xsi:type="dcterms:W3CDTF">2021-12-29T13:45:00Z</dcterms:modified>
</cp:coreProperties>
</file>