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7C0" w:rsidRPr="004B62BA" w:rsidRDefault="00122D57" w:rsidP="00931A37">
      <w:pPr>
        <w:spacing w:after="0" w:line="240" w:lineRule="auto"/>
        <w:ind w:left="2268"/>
        <w:jc w:val="both"/>
        <w:outlineLvl w:val="0"/>
        <w:rPr>
          <w:rFonts w:ascii="Century Gothic" w:eastAsia="Times New Roman" w:hAnsi="Century Gothic" w:cs="Calibri"/>
          <w:bCs/>
          <w:kern w:val="36"/>
          <w:lang w:eastAsia="pt-BR"/>
        </w:rPr>
      </w:pPr>
      <w:r w:rsidRPr="004B62BA">
        <w:rPr>
          <w:rFonts w:ascii="Century Gothic" w:eastAsia="Times New Roman" w:hAnsi="Century Gothic" w:cs="Calibri"/>
          <w:bCs/>
          <w:kern w:val="36"/>
          <w:lang w:eastAsia="pt-BR"/>
        </w:rPr>
        <w:t>PROJETO DE LEI</w:t>
      </w:r>
      <w:r w:rsidR="007E47C0" w:rsidRPr="004B62BA">
        <w:rPr>
          <w:rFonts w:ascii="Century Gothic" w:eastAsia="Times New Roman" w:hAnsi="Century Gothic" w:cs="Calibri"/>
          <w:bCs/>
          <w:kern w:val="36"/>
          <w:lang w:eastAsia="pt-BR"/>
        </w:rPr>
        <w:t xml:space="preserve"> _______/2021.</w:t>
      </w:r>
    </w:p>
    <w:p w:rsidR="00931A37" w:rsidRPr="004B62BA" w:rsidRDefault="00931A37" w:rsidP="00931A37">
      <w:pPr>
        <w:pStyle w:val="Default"/>
        <w:ind w:left="2268"/>
        <w:rPr>
          <w:rFonts w:ascii="Century Gothic" w:hAnsi="Century Gothic"/>
          <w:color w:val="auto"/>
          <w:sz w:val="22"/>
          <w:szCs w:val="22"/>
        </w:rPr>
      </w:pPr>
    </w:p>
    <w:p w:rsidR="004272A6" w:rsidRDefault="00167442" w:rsidP="00167442">
      <w:pPr>
        <w:pStyle w:val="Default"/>
        <w:ind w:left="3402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INSTITUI A CAMPANHA PERMANENTE DE INCENTIVO ÀS COOPERATIVAS DE CATADORES DE</w:t>
      </w:r>
      <w:r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167442">
        <w:rPr>
          <w:rFonts w:ascii="Century Gothic" w:hAnsi="Century Gothic"/>
          <w:color w:val="auto"/>
          <w:sz w:val="22"/>
          <w:szCs w:val="22"/>
        </w:rPr>
        <w:t>MATERIAL RECICLÁVEL E DÁ OUTRAS PROVIDÊNCIAS.</w:t>
      </w:r>
    </w:p>
    <w:p w:rsidR="00167442" w:rsidRDefault="00167442" w:rsidP="00167442">
      <w:pPr>
        <w:pStyle w:val="Default"/>
        <w:ind w:left="3402"/>
        <w:jc w:val="both"/>
        <w:rPr>
          <w:rFonts w:ascii="Century Gothic" w:hAnsi="Century Gothic"/>
          <w:color w:val="auto"/>
          <w:sz w:val="22"/>
          <w:szCs w:val="22"/>
        </w:rPr>
      </w:pPr>
    </w:p>
    <w:p w:rsidR="00167442" w:rsidRPr="00167442" w:rsidRDefault="004272A6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 xml:space="preserve">Art. 1º </w:t>
      </w:r>
      <w:r w:rsidR="00167442" w:rsidRPr="00167442">
        <w:rPr>
          <w:rFonts w:ascii="Century Gothic" w:hAnsi="Century Gothic"/>
          <w:color w:val="auto"/>
          <w:sz w:val="22"/>
          <w:szCs w:val="22"/>
        </w:rPr>
        <w:t>Fica instituída a Campanha Permanente de Incentivo às Cooperativas de</w:t>
      </w:r>
    </w:p>
    <w:p w:rsidR="004272A6" w:rsidRPr="004272A6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Catadores de Material Reciclável, a ser desenvolvida em parceria com a sociedade civil e</w:t>
      </w:r>
      <w:r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167442">
        <w:rPr>
          <w:rFonts w:ascii="Century Gothic" w:hAnsi="Century Gothic"/>
          <w:color w:val="auto"/>
          <w:sz w:val="22"/>
          <w:szCs w:val="22"/>
        </w:rPr>
        <w:t xml:space="preserve">iniciativa privada, no âmbito do município de </w:t>
      </w:r>
      <w:r>
        <w:rPr>
          <w:rFonts w:ascii="Century Gothic" w:hAnsi="Century Gothic"/>
          <w:color w:val="auto"/>
          <w:sz w:val="22"/>
          <w:szCs w:val="22"/>
        </w:rPr>
        <w:t>Sete Lagoas</w:t>
      </w:r>
      <w:r w:rsidRPr="00167442">
        <w:rPr>
          <w:rFonts w:ascii="Century Gothic" w:hAnsi="Century Gothic"/>
          <w:color w:val="auto"/>
          <w:sz w:val="22"/>
          <w:szCs w:val="22"/>
        </w:rPr>
        <w:t>.</w:t>
      </w:r>
    </w:p>
    <w:p w:rsidR="00167442" w:rsidRDefault="00167442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167442" w:rsidRP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Art. 2º</w:t>
      </w:r>
      <w:r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167442">
        <w:rPr>
          <w:rFonts w:ascii="Century Gothic" w:hAnsi="Century Gothic"/>
          <w:color w:val="auto"/>
          <w:sz w:val="22"/>
          <w:szCs w:val="22"/>
        </w:rPr>
        <w:t>Os incentivos de que trata o artigo primeiro desta lei, terão os seguintes</w:t>
      </w:r>
      <w:r w:rsidR="00DE6759"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167442">
        <w:rPr>
          <w:rFonts w:ascii="Century Gothic" w:hAnsi="Century Gothic"/>
          <w:color w:val="auto"/>
          <w:sz w:val="22"/>
          <w:szCs w:val="22"/>
        </w:rPr>
        <w:t>objetivos:</w:t>
      </w:r>
    </w:p>
    <w:p w:rsid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bookmarkStart w:id="0" w:name="_GoBack"/>
      <w:bookmarkEnd w:id="0"/>
    </w:p>
    <w:p w:rsidR="00167442" w:rsidRP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I - estimular a geração de emprego e renda;</w:t>
      </w:r>
    </w:p>
    <w:p w:rsidR="00167442" w:rsidRP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II - fomentar a formação de cooperativas de trabalho;</w:t>
      </w:r>
    </w:p>
    <w:p w:rsidR="00167442" w:rsidRP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III - resgatar a cidadania através do direito básico ao trabalho;</w:t>
      </w:r>
    </w:p>
    <w:p w:rsidR="00167442" w:rsidRP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IV - promover a educação ambiental;</w:t>
      </w:r>
    </w:p>
    <w:p w:rsidR="00167442" w:rsidRP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V - propiciar a defesa do meio ambiente através da coleta seletiva e reciclagem de lixo.</w:t>
      </w:r>
    </w:p>
    <w:p w:rsid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167442" w:rsidRP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Art. 3º As ações da campanha permanente de incentivo às Cooperativas de Catadores</w:t>
      </w:r>
      <w:r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167442">
        <w:rPr>
          <w:rFonts w:ascii="Century Gothic" w:hAnsi="Century Gothic"/>
          <w:color w:val="auto"/>
          <w:sz w:val="22"/>
          <w:szCs w:val="22"/>
        </w:rPr>
        <w:t>de Material Reciclável incluirão:</w:t>
      </w:r>
    </w:p>
    <w:p w:rsidR="00167442" w:rsidRP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 xml:space="preserve">I - apoio à formação de cooperativas de trabalho visando </w:t>
      </w:r>
      <w:r w:rsidR="00DE6759" w:rsidRPr="00167442">
        <w:rPr>
          <w:rFonts w:ascii="Century Gothic" w:hAnsi="Century Gothic"/>
          <w:color w:val="auto"/>
          <w:sz w:val="22"/>
          <w:szCs w:val="22"/>
        </w:rPr>
        <w:t>à</w:t>
      </w:r>
      <w:r w:rsidRPr="00167442">
        <w:rPr>
          <w:rFonts w:ascii="Century Gothic" w:hAnsi="Century Gothic"/>
          <w:color w:val="auto"/>
          <w:sz w:val="22"/>
          <w:szCs w:val="22"/>
        </w:rPr>
        <w:t xml:space="preserve"> </w:t>
      </w:r>
      <w:proofErr w:type="gramStart"/>
      <w:r w:rsidRPr="00167442">
        <w:rPr>
          <w:rFonts w:ascii="Century Gothic" w:hAnsi="Century Gothic"/>
          <w:color w:val="auto"/>
          <w:sz w:val="22"/>
          <w:szCs w:val="22"/>
        </w:rPr>
        <w:t>implementação</w:t>
      </w:r>
      <w:proofErr w:type="gramEnd"/>
      <w:r w:rsidRPr="00167442">
        <w:rPr>
          <w:rFonts w:ascii="Century Gothic" w:hAnsi="Century Gothic"/>
          <w:color w:val="auto"/>
          <w:sz w:val="22"/>
          <w:szCs w:val="22"/>
        </w:rPr>
        <w:t xml:space="preserve"> progressiva</w:t>
      </w:r>
      <w:r w:rsidR="00DE6759"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167442">
        <w:rPr>
          <w:rFonts w:ascii="Century Gothic" w:hAnsi="Century Gothic"/>
          <w:color w:val="auto"/>
          <w:sz w:val="22"/>
          <w:szCs w:val="22"/>
        </w:rPr>
        <w:t>de coleta seletiva de lixo por meio dos participantes dessas cooperativas;</w:t>
      </w:r>
    </w:p>
    <w:p w:rsidR="00167442" w:rsidRP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II - estimular a triagem e reciclagem do material coletado através de unidades a serem</w:t>
      </w:r>
      <w:r w:rsidR="00DE6759"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167442">
        <w:rPr>
          <w:rFonts w:ascii="Century Gothic" w:hAnsi="Century Gothic"/>
          <w:color w:val="auto"/>
          <w:sz w:val="22"/>
          <w:szCs w:val="22"/>
        </w:rPr>
        <w:t>operadas pelas próprias cooperativas de trabalho;</w:t>
      </w:r>
    </w:p>
    <w:p w:rsidR="00167442" w:rsidRP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III - fomentar o desenvolvimento de atividades de educação ambiental.</w:t>
      </w:r>
    </w:p>
    <w:p w:rsidR="00167442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Pr="004272A6" w:rsidRDefault="00167442" w:rsidP="00167442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167442">
        <w:rPr>
          <w:rFonts w:ascii="Century Gothic" w:hAnsi="Century Gothic"/>
          <w:color w:val="auto"/>
          <w:sz w:val="22"/>
          <w:szCs w:val="22"/>
        </w:rPr>
        <w:t>Art. 4º As despesas decorrentes da execução da presente Lei correrão por conta das</w:t>
      </w:r>
      <w:r>
        <w:rPr>
          <w:rFonts w:ascii="Century Gothic" w:hAnsi="Century Gothic"/>
          <w:color w:val="auto"/>
          <w:sz w:val="22"/>
          <w:szCs w:val="22"/>
        </w:rPr>
        <w:t xml:space="preserve"> </w:t>
      </w:r>
      <w:r w:rsidRPr="00167442">
        <w:rPr>
          <w:rFonts w:ascii="Century Gothic" w:hAnsi="Century Gothic"/>
          <w:color w:val="auto"/>
          <w:sz w:val="22"/>
          <w:szCs w:val="22"/>
        </w:rPr>
        <w:t>dotações orçamentárias próprias, suplementadas se necessário.</w:t>
      </w:r>
    </w:p>
    <w:p w:rsidR="00167442" w:rsidRDefault="00167442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272A6">
        <w:rPr>
          <w:rFonts w:ascii="Century Gothic" w:hAnsi="Century Gothic"/>
          <w:color w:val="auto"/>
          <w:sz w:val="22"/>
          <w:szCs w:val="22"/>
        </w:rPr>
        <w:t>Art. 5º Esta Lei entrará em vigor na data de sua publicação.</w:t>
      </w:r>
    </w:p>
    <w:p w:rsidR="004272A6" w:rsidRDefault="004272A6" w:rsidP="004272A6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931A37" w:rsidRDefault="004272A6" w:rsidP="004272A6">
      <w:pPr>
        <w:pStyle w:val="Default"/>
        <w:jc w:val="center"/>
        <w:rPr>
          <w:rFonts w:ascii="Century Gothic" w:hAnsi="Century Gothic"/>
          <w:color w:val="auto"/>
          <w:sz w:val="22"/>
          <w:szCs w:val="22"/>
        </w:rPr>
      </w:pPr>
      <w:r>
        <w:rPr>
          <w:rFonts w:ascii="Century Gothic" w:hAnsi="Century Gothic"/>
          <w:color w:val="auto"/>
          <w:sz w:val="22"/>
          <w:szCs w:val="22"/>
        </w:rPr>
        <w:t>S</w:t>
      </w:r>
      <w:r w:rsidR="00931A37" w:rsidRPr="004B62BA">
        <w:rPr>
          <w:rFonts w:ascii="Century Gothic" w:hAnsi="Century Gothic"/>
          <w:color w:val="auto"/>
          <w:sz w:val="22"/>
          <w:szCs w:val="22"/>
        </w:rPr>
        <w:t xml:space="preserve">ala de Sessões, </w:t>
      </w:r>
      <w:r>
        <w:rPr>
          <w:rFonts w:ascii="Century Gothic" w:hAnsi="Century Gothic"/>
          <w:color w:val="auto"/>
          <w:sz w:val="22"/>
          <w:szCs w:val="22"/>
        </w:rPr>
        <w:t>09 de Agosto</w:t>
      </w:r>
      <w:r w:rsidR="00931A37" w:rsidRPr="004B62BA">
        <w:rPr>
          <w:rFonts w:ascii="Century Gothic" w:hAnsi="Century Gothic"/>
          <w:color w:val="auto"/>
          <w:sz w:val="22"/>
          <w:szCs w:val="22"/>
        </w:rPr>
        <w:t xml:space="preserve"> de 2021.</w:t>
      </w:r>
    </w:p>
    <w:p w:rsidR="007B6DE5" w:rsidRPr="004B62BA" w:rsidRDefault="007B6DE5" w:rsidP="004272A6">
      <w:pPr>
        <w:pStyle w:val="Default"/>
        <w:jc w:val="center"/>
        <w:rPr>
          <w:rFonts w:ascii="Century Gothic" w:hAnsi="Century Gothic"/>
          <w:color w:val="auto"/>
          <w:sz w:val="22"/>
          <w:szCs w:val="22"/>
        </w:rPr>
      </w:pPr>
    </w:p>
    <w:p w:rsidR="004B62BA" w:rsidRPr="00944B11" w:rsidRDefault="004B62BA" w:rsidP="004B62BA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  <w:noProof/>
          <w:lang w:eastAsia="pt-BR"/>
        </w:rPr>
        <w:drawing>
          <wp:inline distT="0" distB="0" distL="0" distR="0" wp14:anchorId="397CE113" wp14:editId="06D3579E">
            <wp:extent cx="3146961" cy="532159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53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2BA" w:rsidRPr="00944B11" w:rsidRDefault="004B62BA" w:rsidP="004B62BA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</w:rPr>
        <w:t>IVSON GOMES DE CASTRO</w:t>
      </w:r>
    </w:p>
    <w:p w:rsidR="004B62BA" w:rsidRDefault="004B62BA" w:rsidP="004B62BA">
      <w:pPr>
        <w:spacing w:after="0" w:line="240" w:lineRule="auto"/>
        <w:jc w:val="center"/>
        <w:rPr>
          <w:rFonts w:ascii="Century Gothic" w:hAnsi="Century Gothic"/>
        </w:rPr>
      </w:pPr>
      <w:r w:rsidRPr="00944B11">
        <w:rPr>
          <w:rFonts w:ascii="Century Gothic" w:hAnsi="Century Gothic"/>
        </w:rPr>
        <w:t>VEREADOR</w:t>
      </w:r>
    </w:p>
    <w:p w:rsidR="00EC5640" w:rsidRDefault="00EC5640" w:rsidP="004B62BA">
      <w:pPr>
        <w:spacing w:after="0" w:line="240" w:lineRule="auto"/>
        <w:jc w:val="center"/>
        <w:rPr>
          <w:rFonts w:ascii="Century Gothic" w:hAnsi="Century Gothic"/>
        </w:rPr>
      </w:pPr>
    </w:p>
    <w:p w:rsidR="004272A6" w:rsidRDefault="004272A6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Default="004272A6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167442" w:rsidRDefault="00167442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167442" w:rsidRDefault="00167442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Default="004272A6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DE6759" w:rsidRDefault="00DE6759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4272A6" w:rsidRDefault="004272A6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931A37" w:rsidRPr="004B62BA" w:rsidRDefault="007B6DE5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  <w:r w:rsidRPr="004B62BA">
        <w:rPr>
          <w:rFonts w:ascii="Century Gothic" w:hAnsi="Century Gothic"/>
          <w:color w:val="auto"/>
          <w:sz w:val="22"/>
          <w:szCs w:val="22"/>
        </w:rPr>
        <w:lastRenderedPageBreak/>
        <w:t>JUSTIFICATIVA:</w:t>
      </w:r>
      <w:r w:rsidR="00931A37" w:rsidRPr="004B62BA">
        <w:rPr>
          <w:rFonts w:ascii="Century Gothic" w:hAnsi="Century Gothic"/>
          <w:color w:val="auto"/>
          <w:sz w:val="22"/>
          <w:szCs w:val="22"/>
        </w:rPr>
        <w:t xml:space="preserve"> </w:t>
      </w:r>
    </w:p>
    <w:p w:rsidR="00931A37" w:rsidRPr="004B62BA" w:rsidRDefault="00931A37" w:rsidP="00931A37">
      <w:pPr>
        <w:pStyle w:val="Default"/>
        <w:jc w:val="both"/>
        <w:rPr>
          <w:rFonts w:ascii="Century Gothic" w:hAnsi="Century Gothic"/>
          <w:color w:val="auto"/>
          <w:sz w:val="22"/>
          <w:szCs w:val="22"/>
        </w:rPr>
      </w:pPr>
    </w:p>
    <w:p w:rsidR="00DE6759" w:rsidRDefault="00167442" w:rsidP="00167442">
      <w:pPr>
        <w:spacing w:after="0" w:line="240" w:lineRule="auto"/>
        <w:jc w:val="both"/>
        <w:rPr>
          <w:rFonts w:ascii="Century Gothic" w:hAnsi="Century Gothic"/>
        </w:rPr>
      </w:pPr>
      <w:r w:rsidRPr="00167442">
        <w:rPr>
          <w:rFonts w:ascii="Century Gothic" w:hAnsi="Century Gothic"/>
        </w:rPr>
        <w:t>Os catadores de materiais recicláveis são trabalhadores que atuam, dentro da cadeia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de reciclagem, no âmbito da coleta, na classificação e destinação adequada dos resíduos para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 xml:space="preserve">que retornem à cadeia produtiva, diminuindo a extração de matéria-prima virgem. </w:t>
      </w:r>
    </w:p>
    <w:p w:rsidR="00DE6759" w:rsidRDefault="00DE6759" w:rsidP="00167442">
      <w:pPr>
        <w:spacing w:after="0" w:line="240" w:lineRule="auto"/>
        <w:jc w:val="both"/>
        <w:rPr>
          <w:rFonts w:ascii="Century Gothic" w:hAnsi="Century Gothic"/>
        </w:rPr>
      </w:pPr>
    </w:p>
    <w:p w:rsid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  <w:r w:rsidRPr="00167442">
        <w:rPr>
          <w:rFonts w:ascii="Century Gothic" w:hAnsi="Century Gothic"/>
        </w:rPr>
        <w:t>Muitos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catadores realizam esses trabalhos de forma autônoma e isolada ou em famílias, seja nos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lixões ou nas ruas do município. Em razão disso, este projeto de Lei, cumpre o objetivo de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fortalecer e promover cidadania, no reconhecimento das associações e cooperativas na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promoção social de catadores da cidade, conforme legislações correntes.</w:t>
      </w:r>
    </w:p>
    <w:p w:rsidR="00167442" w:rsidRP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</w:p>
    <w:p w:rsid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  <w:r w:rsidRPr="00167442">
        <w:rPr>
          <w:rFonts w:ascii="Century Gothic" w:hAnsi="Century Gothic"/>
        </w:rPr>
        <w:t>Com objetivo de fortalecer e estabelecer formas de gestão de resíduos sólidos</w:t>
      </w:r>
      <w:proofErr w:type="gramStart"/>
      <w:r w:rsidRPr="00167442">
        <w:rPr>
          <w:rFonts w:ascii="Century Gothic" w:hAnsi="Century Gothic"/>
        </w:rPr>
        <w:t>, foi</w:t>
      </w:r>
      <w:proofErr w:type="gramEnd"/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instituído no país a Lei nº 12305/2010 reconhecida como Política Nacional de Resíduos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Sólidos. No seu inciso VIII do Art. 6º, temos um princípio que trata sobre o reconhecimento do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resíduo sólido reutilizável e reciclável como um bem econômico e de valor social, promotor de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cidadania e gerador de trabalho e renda.</w:t>
      </w:r>
    </w:p>
    <w:p w:rsidR="00167442" w:rsidRP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</w:p>
    <w:p w:rsidR="00167442" w:rsidRDefault="00DE6759" w:rsidP="00167442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 w:rsidR="00167442" w:rsidRPr="00167442">
        <w:rPr>
          <w:rFonts w:ascii="Century Gothic" w:hAnsi="Century Gothic"/>
        </w:rPr>
        <w:t xml:space="preserve"> contribuição das cooperativas de reciclagem está no acesso à</w:t>
      </w:r>
      <w:r>
        <w:rPr>
          <w:rFonts w:ascii="Century Gothic" w:hAnsi="Century Gothic"/>
        </w:rPr>
        <w:t xml:space="preserve"> </w:t>
      </w:r>
      <w:r w:rsidR="00167442" w:rsidRPr="00167442">
        <w:rPr>
          <w:rFonts w:ascii="Century Gothic" w:hAnsi="Century Gothic"/>
        </w:rPr>
        <w:t>cidadania e na garantia de melhorias nas condições de trabalho e saúde dos cooperados, por</w:t>
      </w:r>
      <w:r w:rsidR="00167442">
        <w:rPr>
          <w:rFonts w:ascii="Century Gothic" w:hAnsi="Century Gothic"/>
        </w:rPr>
        <w:t xml:space="preserve"> </w:t>
      </w:r>
      <w:r w:rsidR="00167442" w:rsidRPr="00167442">
        <w:rPr>
          <w:rFonts w:ascii="Century Gothic" w:hAnsi="Century Gothic"/>
        </w:rPr>
        <w:t>meio da geração de renda através do lixo. Como também, na mitigação dos impactos</w:t>
      </w:r>
      <w:r w:rsidR="00167442">
        <w:rPr>
          <w:rFonts w:ascii="Century Gothic" w:hAnsi="Century Gothic"/>
        </w:rPr>
        <w:t xml:space="preserve"> </w:t>
      </w:r>
      <w:r w:rsidR="00167442" w:rsidRPr="00167442">
        <w:rPr>
          <w:rFonts w:ascii="Century Gothic" w:hAnsi="Century Gothic"/>
        </w:rPr>
        <w:t>socioambientais provocados pela disposição incorreta</w:t>
      </w:r>
      <w:r w:rsidR="00167442">
        <w:rPr>
          <w:rFonts w:ascii="Century Gothic" w:hAnsi="Century Gothic"/>
        </w:rPr>
        <w:t xml:space="preserve"> </w:t>
      </w:r>
      <w:r w:rsidR="00167442" w:rsidRPr="00167442">
        <w:rPr>
          <w:rFonts w:ascii="Century Gothic" w:hAnsi="Century Gothic"/>
        </w:rPr>
        <w:t>de resíduos de sólidos urbanos, na</w:t>
      </w:r>
      <w:r w:rsidR="00167442">
        <w:rPr>
          <w:rFonts w:ascii="Century Gothic" w:hAnsi="Century Gothic"/>
        </w:rPr>
        <w:t xml:space="preserve"> </w:t>
      </w:r>
      <w:r w:rsidR="00167442" w:rsidRPr="00167442">
        <w:rPr>
          <w:rFonts w:ascii="Century Gothic" w:hAnsi="Century Gothic"/>
        </w:rPr>
        <w:t>redução de gasto de energia e na contribuição para o aumento da vida útil de aterros</w:t>
      </w:r>
      <w:r w:rsidR="00167442">
        <w:rPr>
          <w:rFonts w:ascii="Century Gothic" w:hAnsi="Century Gothic"/>
        </w:rPr>
        <w:t xml:space="preserve"> </w:t>
      </w:r>
      <w:r w:rsidR="00167442" w:rsidRPr="00167442">
        <w:rPr>
          <w:rFonts w:ascii="Century Gothic" w:hAnsi="Century Gothic"/>
        </w:rPr>
        <w:t>sanitários.</w:t>
      </w:r>
    </w:p>
    <w:p w:rsidR="00167442" w:rsidRP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</w:p>
    <w:p w:rsid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  <w:r w:rsidRPr="00167442">
        <w:rPr>
          <w:rFonts w:ascii="Century Gothic" w:hAnsi="Century Gothic"/>
        </w:rPr>
        <w:t>Segundo dados da Associação Brasileira de Empresas de Limpeza Pública e Resíduos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Especiais, o Brasil gera por ano quase 80 milhões de toneladas de lixo, mas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apenas 4% são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reciclados. Os catadores de materiais recicláveis - profissão registrada na Classificação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Brasileira de Ocupação, por sua vez, coletam 90% dos recicláveis no país.</w:t>
      </w:r>
      <w:r>
        <w:rPr>
          <w:rFonts w:ascii="Century Gothic" w:hAnsi="Century Gothic"/>
        </w:rPr>
        <w:t xml:space="preserve"> </w:t>
      </w:r>
    </w:p>
    <w:p w:rsidR="00167442" w:rsidRP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</w:p>
    <w:p w:rsidR="00167442" w:rsidRP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  <w:r w:rsidRPr="00167442">
        <w:rPr>
          <w:rFonts w:ascii="Century Gothic" w:hAnsi="Century Gothic"/>
        </w:rPr>
        <w:t xml:space="preserve">Dentro da cadeia de reciclagem, são os catadores, na maioria das vezes, </w:t>
      </w:r>
      <w:proofErr w:type="gramStart"/>
      <w:r w:rsidRPr="00167442">
        <w:rPr>
          <w:rFonts w:ascii="Century Gothic" w:hAnsi="Century Gothic"/>
        </w:rPr>
        <w:t>pouco</w:t>
      </w:r>
      <w:proofErr w:type="gramEnd"/>
    </w:p>
    <w:p w:rsid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  <w:proofErr w:type="gramStart"/>
      <w:r w:rsidRPr="00167442">
        <w:rPr>
          <w:rFonts w:ascii="Century Gothic" w:hAnsi="Century Gothic"/>
        </w:rPr>
        <w:t>valorizados</w:t>
      </w:r>
      <w:proofErr w:type="gramEnd"/>
      <w:r w:rsidRPr="00167442">
        <w:rPr>
          <w:rFonts w:ascii="Century Gothic" w:hAnsi="Century Gothic"/>
        </w:rPr>
        <w:t xml:space="preserve"> e incentivados pelo poder público e pela sociedade civil, que realizam boas práticas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ambientais e de saúde para toda a sociedade. A não regulação e reconhecimento do setor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 xml:space="preserve">relegam inúmeros catadores autônomos à profunda exclusão social e econômica. São </w:t>
      </w:r>
      <w:proofErr w:type="gramStart"/>
      <w:r w:rsidRPr="00167442">
        <w:rPr>
          <w:rFonts w:ascii="Century Gothic" w:hAnsi="Century Gothic"/>
        </w:rPr>
        <w:t>6</w:t>
      </w:r>
      <w:proofErr w:type="gramEnd"/>
      <w:r w:rsidRPr="00167442">
        <w:rPr>
          <w:rFonts w:ascii="Century Gothic" w:hAnsi="Century Gothic"/>
        </w:rPr>
        <w:t xml:space="preserve"> milhões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de toneladas de plástico, 4,7 milhões de papel ou papelão, 1 milhão de vidro e 185 mil de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alumínio que ao invés de gerarem dinheiro e emprego estão sendo descartados no meio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 xml:space="preserve">ambiente. </w:t>
      </w:r>
    </w:p>
    <w:p w:rsid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</w:p>
    <w:p w:rsidR="00167442" w:rsidRP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  <w:r w:rsidRPr="00167442">
        <w:rPr>
          <w:rFonts w:ascii="Century Gothic" w:hAnsi="Century Gothic"/>
        </w:rPr>
        <w:t>Por isso, os desafios para a formação e continuidade das cooperativas concentram</w:t>
      </w:r>
      <w:r>
        <w:rPr>
          <w:rFonts w:ascii="Century Gothic" w:hAnsi="Century Gothic"/>
        </w:rPr>
        <w:t>-</w:t>
      </w:r>
      <w:r w:rsidRPr="00167442">
        <w:rPr>
          <w:rFonts w:ascii="Century Gothic" w:hAnsi="Century Gothic"/>
        </w:rPr>
        <w:t>se no acesso e na disponibilidade às tecnologias e à infraestrutura para o trabalho.</w:t>
      </w:r>
      <w:r>
        <w:rPr>
          <w:rFonts w:ascii="Century Gothic" w:hAnsi="Century Gothic"/>
        </w:rPr>
        <w:t xml:space="preserve"> </w:t>
      </w:r>
    </w:p>
    <w:p w:rsid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  <w:r w:rsidRPr="00167442">
        <w:rPr>
          <w:rFonts w:ascii="Century Gothic" w:hAnsi="Century Gothic"/>
        </w:rPr>
        <w:t>A reciclagem no Brasil transformou-se em oportunidade de trabalho e renda, além de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inclusão social. Faz-se necessário, portanto, fomentar a criação de cooperativas, tendo em vista, no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caso de catadores autônomos, a pequena quantidade de material reciclável para venda, os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 xml:space="preserve">leva a negociar o material por </w:t>
      </w:r>
      <w:r w:rsidRPr="00167442">
        <w:rPr>
          <w:rFonts w:ascii="Century Gothic" w:hAnsi="Century Gothic"/>
        </w:rPr>
        <w:lastRenderedPageBreak/>
        <w:t>preços bem baixos junto aos pequenos sucateiros. Esse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barateamento dos serviços executados pelos catadores, tão essenciais à cidade, os condiciona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a persistir na extrema vulnerabilidade socioeconômica.</w:t>
      </w:r>
      <w:r>
        <w:rPr>
          <w:rFonts w:ascii="Century Gothic" w:hAnsi="Century Gothic"/>
        </w:rPr>
        <w:t xml:space="preserve"> </w:t>
      </w:r>
    </w:p>
    <w:p w:rsidR="00167442" w:rsidRDefault="00167442" w:rsidP="00167442">
      <w:pPr>
        <w:spacing w:after="0" w:line="240" w:lineRule="auto"/>
        <w:jc w:val="both"/>
        <w:rPr>
          <w:rFonts w:ascii="Century Gothic" w:hAnsi="Century Gothic"/>
        </w:rPr>
      </w:pPr>
    </w:p>
    <w:p w:rsidR="00BA4A7C" w:rsidRPr="004B62BA" w:rsidRDefault="00167442" w:rsidP="00167442">
      <w:pPr>
        <w:spacing w:after="0" w:line="240" w:lineRule="auto"/>
        <w:jc w:val="both"/>
        <w:rPr>
          <w:rFonts w:ascii="Century Gothic" w:hAnsi="Century Gothic"/>
        </w:rPr>
      </w:pPr>
      <w:r w:rsidRPr="00167442">
        <w:rPr>
          <w:rFonts w:ascii="Century Gothic" w:hAnsi="Century Gothic"/>
        </w:rPr>
        <w:t xml:space="preserve">Em suma, é importante que a cidade de </w:t>
      </w:r>
      <w:r w:rsidR="00DE6759">
        <w:rPr>
          <w:rFonts w:ascii="Century Gothic" w:hAnsi="Century Gothic"/>
        </w:rPr>
        <w:t>Sete Lagoas</w:t>
      </w:r>
      <w:r w:rsidRPr="00167442">
        <w:rPr>
          <w:rFonts w:ascii="Century Gothic" w:hAnsi="Century Gothic"/>
        </w:rPr>
        <w:t xml:space="preserve"> estabeleça a Campanha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Permanente de Incentivo às Cooperativas de Catadores de Material Reciclável, principalmente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para garantir a cidadania dos catadores num contexto que os marginaliza - ao trabalhar com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aquilo que é rejeitado socialmente, o lixo -, bem como diante do cenário atual de crise</w:t>
      </w:r>
      <w:r>
        <w:rPr>
          <w:rFonts w:ascii="Century Gothic" w:hAnsi="Century Gothic"/>
        </w:rPr>
        <w:t xml:space="preserve"> </w:t>
      </w:r>
      <w:r w:rsidRPr="00167442">
        <w:rPr>
          <w:rFonts w:ascii="Century Gothic" w:hAnsi="Century Gothic"/>
        </w:rPr>
        <w:t>econômica e social desencadeada pela pandemia da Covid-19.</w:t>
      </w:r>
    </w:p>
    <w:p w:rsidR="00BA4A7C" w:rsidRPr="004B62BA" w:rsidRDefault="00BA4A7C" w:rsidP="00BA4A7C">
      <w:pPr>
        <w:spacing w:after="0" w:line="240" w:lineRule="auto"/>
        <w:jc w:val="both"/>
        <w:rPr>
          <w:rFonts w:ascii="Century Gothic" w:hAnsi="Century Gothic"/>
        </w:rPr>
      </w:pPr>
    </w:p>
    <w:sectPr w:rsidR="00BA4A7C" w:rsidRPr="004B62BA" w:rsidSect="00C90640">
      <w:headerReference w:type="default" r:id="rId10"/>
      <w:pgSz w:w="11906" w:h="16838"/>
      <w:pgMar w:top="1418" w:right="1418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F5" w:rsidRDefault="00ED01F5" w:rsidP="007A2F46">
      <w:pPr>
        <w:spacing w:after="0" w:line="240" w:lineRule="auto"/>
      </w:pPr>
      <w:r>
        <w:separator/>
      </w:r>
    </w:p>
  </w:endnote>
  <w:endnote w:type="continuationSeparator" w:id="0">
    <w:p w:rsidR="00ED01F5" w:rsidRDefault="00ED01F5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F5" w:rsidRDefault="00ED01F5" w:rsidP="007A2F46">
      <w:pPr>
        <w:spacing w:after="0" w:line="240" w:lineRule="auto"/>
      </w:pPr>
      <w:r>
        <w:separator/>
      </w:r>
    </w:p>
  </w:footnote>
  <w:footnote w:type="continuationSeparator" w:id="0">
    <w:p w:rsidR="00ED01F5" w:rsidRDefault="00ED01F5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74E56B35" wp14:editId="204ED0AF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62EFC"/>
    <w:multiLevelType w:val="hybridMultilevel"/>
    <w:tmpl w:val="57B6697A"/>
    <w:lvl w:ilvl="0" w:tplc="E1A869A2">
      <w:start w:val="2"/>
      <w:numFmt w:val="upperRoman"/>
      <w:lvlText w:val="%1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2F06DC6">
      <w:start w:val="1"/>
      <w:numFmt w:val="lowerLetter"/>
      <w:lvlText w:val="%2"/>
      <w:lvlJc w:val="left"/>
      <w:pPr>
        <w:ind w:left="17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7BAE688">
      <w:start w:val="1"/>
      <w:numFmt w:val="lowerRoman"/>
      <w:lvlText w:val="%3"/>
      <w:lvlJc w:val="left"/>
      <w:pPr>
        <w:ind w:left="2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72A6BDAE">
      <w:start w:val="1"/>
      <w:numFmt w:val="decimal"/>
      <w:lvlText w:val="%4"/>
      <w:lvlJc w:val="left"/>
      <w:pPr>
        <w:ind w:left="3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F90DECC">
      <w:start w:val="1"/>
      <w:numFmt w:val="lowerLetter"/>
      <w:lvlText w:val="%5"/>
      <w:lvlJc w:val="left"/>
      <w:pPr>
        <w:ind w:left="3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CF8C634">
      <w:start w:val="1"/>
      <w:numFmt w:val="lowerRoman"/>
      <w:lvlText w:val="%6"/>
      <w:lvlJc w:val="left"/>
      <w:pPr>
        <w:ind w:left="4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040E3EC">
      <w:start w:val="1"/>
      <w:numFmt w:val="decimal"/>
      <w:lvlText w:val="%7"/>
      <w:lvlJc w:val="left"/>
      <w:pPr>
        <w:ind w:left="5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6B32E904">
      <w:start w:val="1"/>
      <w:numFmt w:val="lowerLetter"/>
      <w:lvlText w:val="%8"/>
      <w:lvlJc w:val="left"/>
      <w:pPr>
        <w:ind w:left="6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1CA9058">
      <w:start w:val="1"/>
      <w:numFmt w:val="lowerRoman"/>
      <w:lvlText w:val="%9"/>
      <w:lvlJc w:val="left"/>
      <w:pPr>
        <w:ind w:left="6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C1D0BC7"/>
    <w:multiLevelType w:val="hybridMultilevel"/>
    <w:tmpl w:val="06509CBA"/>
    <w:lvl w:ilvl="0" w:tplc="0B586C26">
      <w:start w:val="1"/>
      <w:numFmt w:val="upperRoman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65A4EDE">
      <w:start w:val="1"/>
      <w:numFmt w:val="lowerLetter"/>
      <w:lvlText w:val="%2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137CE42A">
      <w:start w:val="1"/>
      <w:numFmt w:val="lowerRoman"/>
      <w:lvlText w:val="%3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9B3846FC">
      <w:start w:val="1"/>
      <w:numFmt w:val="decimal"/>
      <w:lvlText w:val="%4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7D70CA08">
      <w:start w:val="1"/>
      <w:numFmt w:val="lowerLetter"/>
      <w:lvlText w:val="%5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F7CA3DC">
      <w:start w:val="1"/>
      <w:numFmt w:val="lowerRoman"/>
      <w:lvlText w:val="%6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ACE458F4">
      <w:start w:val="1"/>
      <w:numFmt w:val="decimal"/>
      <w:lvlText w:val="%7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0CC2C5BA">
      <w:start w:val="1"/>
      <w:numFmt w:val="lowerLetter"/>
      <w:lvlText w:val="%8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16225C5C">
      <w:start w:val="1"/>
      <w:numFmt w:val="lowerRoman"/>
      <w:lvlText w:val="%9"/>
      <w:lvlJc w:val="left"/>
      <w:pPr>
        <w:ind w:left="6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16CFF"/>
    <w:rsid w:val="00034C8A"/>
    <w:rsid w:val="00040104"/>
    <w:rsid w:val="0007727B"/>
    <w:rsid w:val="000868B7"/>
    <w:rsid w:val="00102903"/>
    <w:rsid w:val="00122D57"/>
    <w:rsid w:val="00124128"/>
    <w:rsid w:val="001344B5"/>
    <w:rsid w:val="00154815"/>
    <w:rsid w:val="00167442"/>
    <w:rsid w:val="00193504"/>
    <w:rsid w:val="001C43E8"/>
    <w:rsid w:val="001F77FC"/>
    <w:rsid w:val="00203713"/>
    <w:rsid w:val="002200B6"/>
    <w:rsid w:val="002253DC"/>
    <w:rsid w:val="0029045D"/>
    <w:rsid w:val="00296731"/>
    <w:rsid w:val="002A5A1B"/>
    <w:rsid w:val="002D4258"/>
    <w:rsid w:val="002F37B0"/>
    <w:rsid w:val="0032647C"/>
    <w:rsid w:val="00373FA3"/>
    <w:rsid w:val="003869B1"/>
    <w:rsid w:val="003C1C6D"/>
    <w:rsid w:val="003F773C"/>
    <w:rsid w:val="004272A6"/>
    <w:rsid w:val="004963F4"/>
    <w:rsid w:val="004B62BA"/>
    <w:rsid w:val="004C5FCD"/>
    <w:rsid w:val="004D1C2D"/>
    <w:rsid w:val="004F458A"/>
    <w:rsid w:val="00591E0B"/>
    <w:rsid w:val="005B03F4"/>
    <w:rsid w:val="005B6714"/>
    <w:rsid w:val="005D6D23"/>
    <w:rsid w:val="005E2BB6"/>
    <w:rsid w:val="005E7E83"/>
    <w:rsid w:val="00646D6B"/>
    <w:rsid w:val="006565F9"/>
    <w:rsid w:val="00677914"/>
    <w:rsid w:val="0069753E"/>
    <w:rsid w:val="006D2CEE"/>
    <w:rsid w:val="00753BDD"/>
    <w:rsid w:val="007853BB"/>
    <w:rsid w:val="007903F2"/>
    <w:rsid w:val="007A2F46"/>
    <w:rsid w:val="007A4387"/>
    <w:rsid w:val="007B6DE5"/>
    <w:rsid w:val="007E47C0"/>
    <w:rsid w:val="008007BE"/>
    <w:rsid w:val="008235F9"/>
    <w:rsid w:val="00825B19"/>
    <w:rsid w:val="00844CCD"/>
    <w:rsid w:val="008B5B36"/>
    <w:rsid w:val="008E4130"/>
    <w:rsid w:val="00931A37"/>
    <w:rsid w:val="00947CF1"/>
    <w:rsid w:val="00984C9A"/>
    <w:rsid w:val="009F1501"/>
    <w:rsid w:val="00A8044C"/>
    <w:rsid w:val="00AD43BA"/>
    <w:rsid w:val="00B027A7"/>
    <w:rsid w:val="00B34B0B"/>
    <w:rsid w:val="00B8449E"/>
    <w:rsid w:val="00B8511A"/>
    <w:rsid w:val="00BA486F"/>
    <w:rsid w:val="00BA4A7C"/>
    <w:rsid w:val="00BE7577"/>
    <w:rsid w:val="00BF4353"/>
    <w:rsid w:val="00C7385A"/>
    <w:rsid w:val="00C90640"/>
    <w:rsid w:val="00C972C8"/>
    <w:rsid w:val="00CB0A94"/>
    <w:rsid w:val="00CD6EA0"/>
    <w:rsid w:val="00D662E2"/>
    <w:rsid w:val="00D9008F"/>
    <w:rsid w:val="00DB1F7A"/>
    <w:rsid w:val="00DB3162"/>
    <w:rsid w:val="00DC1E75"/>
    <w:rsid w:val="00DC3F3A"/>
    <w:rsid w:val="00DD08E5"/>
    <w:rsid w:val="00DD18D4"/>
    <w:rsid w:val="00DE6759"/>
    <w:rsid w:val="00DF2EF8"/>
    <w:rsid w:val="00DF617A"/>
    <w:rsid w:val="00DF7FE3"/>
    <w:rsid w:val="00E03821"/>
    <w:rsid w:val="00E23E31"/>
    <w:rsid w:val="00EA5BBE"/>
    <w:rsid w:val="00EB28BF"/>
    <w:rsid w:val="00EB5CFA"/>
    <w:rsid w:val="00EC5640"/>
    <w:rsid w:val="00ED01F5"/>
    <w:rsid w:val="00ED655A"/>
    <w:rsid w:val="00EF49CD"/>
    <w:rsid w:val="00F06105"/>
    <w:rsid w:val="00FA2B56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BA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E47C0"/>
    <w:rPr>
      <w:color w:val="0000FF"/>
      <w:u w:val="single"/>
    </w:rPr>
  </w:style>
  <w:style w:type="table" w:customStyle="1" w:styleId="TableGrid">
    <w:name w:val="TableGrid"/>
    <w:rsid w:val="004F458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B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C368-A210-4B49-A3EC-586E4D91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770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15</cp:revision>
  <cp:lastPrinted>2021-08-10T11:59:00Z</cp:lastPrinted>
  <dcterms:created xsi:type="dcterms:W3CDTF">2021-03-19T13:38:00Z</dcterms:created>
  <dcterms:modified xsi:type="dcterms:W3CDTF">2021-08-10T11:59:00Z</dcterms:modified>
</cp:coreProperties>
</file>