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585C8" w14:textId="45379494" w:rsidR="007E47C0" w:rsidRPr="006F791D" w:rsidRDefault="00F1043B" w:rsidP="00243C29">
      <w:pPr>
        <w:spacing w:after="0" w:line="240" w:lineRule="auto"/>
        <w:ind w:left="2268"/>
        <w:jc w:val="both"/>
        <w:outlineLvl w:val="0"/>
        <w:rPr>
          <w:rFonts w:ascii="Century Gothic" w:eastAsia="Times New Roman" w:hAnsi="Century Gothic" w:cs="Calibri"/>
          <w:bCs/>
          <w:kern w:val="36"/>
          <w:sz w:val="24"/>
          <w:szCs w:val="24"/>
          <w:lang w:eastAsia="pt-BR"/>
        </w:rPr>
      </w:pPr>
      <w:r w:rsidRPr="006F791D">
        <w:rPr>
          <w:rFonts w:ascii="Century Gothic" w:eastAsia="Times New Roman" w:hAnsi="Century Gothic" w:cs="Calibri"/>
          <w:bCs/>
          <w:kern w:val="36"/>
          <w:sz w:val="24"/>
          <w:szCs w:val="24"/>
          <w:lang w:eastAsia="pt-BR"/>
        </w:rPr>
        <w:t>ANTE</w:t>
      </w:r>
      <w:r w:rsidR="00122D57" w:rsidRPr="006F791D">
        <w:rPr>
          <w:rFonts w:ascii="Century Gothic" w:eastAsia="Times New Roman" w:hAnsi="Century Gothic" w:cs="Calibri"/>
          <w:bCs/>
          <w:kern w:val="36"/>
          <w:sz w:val="24"/>
          <w:szCs w:val="24"/>
          <w:lang w:eastAsia="pt-BR"/>
        </w:rPr>
        <w:t xml:space="preserve">PROJETO DE </w:t>
      </w:r>
      <w:r w:rsidR="00DA735C" w:rsidRPr="006F791D">
        <w:rPr>
          <w:rFonts w:ascii="Century Gothic" w:eastAsia="Times New Roman" w:hAnsi="Century Gothic" w:cs="Calibri"/>
          <w:bCs/>
          <w:kern w:val="36"/>
          <w:sz w:val="24"/>
          <w:szCs w:val="24"/>
          <w:lang w:eastAsia="pt-BR"/>
        </w:rPr>
        <w:t>LEI _</w:t>
      </w:r>
      <w:r w:rsidR="007E47C0" w:rsidRPr="006F791D">
        <w:rPr>
          <w:rFonts w:ascii="Century Gothic" w:eastAsia="Times New Roman" w:hAnsi="Century Gothic" w:cs="Calibri"/>
          <w:bCs/>
          <w:kern w:val="36"/>
          <w:sz w:val="24"/>
          <w:szCs w:val="24"/>
          <w:lang w:eastAsia="pt-BR"/>
        </w:rPr>
        <w:t>______/2021.</w:t>
      </w:r>
    </w:p>
    <w:p w14:paraId="213A26CB" w14:textId="77777777" w:rsidR="002D4258" w:rsidRPr="006F791D" w:rsidRDefault="002D4258" w:rsidP="004B4D37">
      <w:pPr>
        <w:spacing w:after="0" w:line="240" w:lineRule="auto"/>
        <w:ind w:left="2268"/>
        <w:jc w:val="both"/>
        <w:outlineLvl w:val="0"/>
        <w:rPr>
          <w:rFonts w:ascii="Century Gothic" w:eastAsia="Times New Roman" w:hAnsi="Century Gothic" w:cs="Calibri"/>
          <w:bCs/>
          <w:kern w:val="36"/>
          <w:sz w:val="24"/>
          <w:szCs w:val="24"/>
          <w:lang w:eastAsia="pt-BR"/>
        </w:rPr>
      </w:pPr>
    </w:p>
    <w:p w14:paraId="12A58291" w14:textId="71A57CFE" w:rsidR="004B4D37" w:rsidRDefault="003E69BA" w:rsidP="004B4D37">
      <w:pPr>
        <w:spacing w:after="0" w:line="240" w:lineRule="auto"/>
        <w:ind w:left="4536" w:hanging="10"/>
        <w:jc w:val="both"/>
        <w:rPr>
          <w:rFonts w:ascii="Century Gothic" w:eastAsia="Times New Roman" w:hAnsi="Century Gothic" w:cs="Courier New"/>
          <w:sz w:val="24"/>
          <w:szCs w:val="24"/>
          <w:lang w:eastAsia="pt-BR"/>
        </w:rPr>
      </w:pPr>
      <w:r w:rsidRPr="003E69BA">
        <w:rPr>
          <w:rFonts w:ascii="Century Gothic" w:eastAsia="Times New Roman" w:hAnsi="Century Gothic" w:cs="Courier New"/>
          <w:sz w:val="24"/>
          <w:szCs w:val="24"/>
          <w:lang w:eastAsia="pt-BR"/>
        </w:rPr>
        <w:t xml:space="preserve">DISPÕE SOBRE </w:t>
      </w:r>
      <w:r w:rsidR="00274B7C">
        <w:rPr>
          <w:rFonts w:ascii="Century Gothic" w:eastAsia="Times New Roman" w:hAnsi="Century Gothic" w:cs="Courier New"/>
          <w:sz w:val="24"/>
          <w:szCs w:val="24"/>
          <w:lang w:eastAsia="pt-BR"/>
        </w:rPr>
        <w:t xml:space="preserve">“INFÂNCIA SEM PORNOGRAFIA” E </w:t>
      </w:r>
      <w:r w:rsidRPr="003E69BA">
        <w:rPr>
          <w:rFonts w:ascii="Century Gothic" w:eastAsia="Times New Roman" w:hAnsi="Century Gothic" w:cs="Courier New"/>
          <w:sz w:val="24"/>
          <w:szCs w:val="24"/>
          <w:lang w:eastAsia="pt-BR"/>
        </w:rPr>
        <w:t>O RESPEITO DOS SERVIÇOS PÚBLICOS MUNICIPAIS À DIGNIDADE ESPECIAL DE CRIANÇAS E ADOLESCENTES EM RELAÇÃO À DIVULGAÇÃO DE MATERIAL PORNOGRÁFICO OU OBSCENO, OU AO ACESSO A ESSE MATERIAL, E DÁ OUTRAS PROVIDÊNCIAS.</w:t>
      </w:r>
    </w:p>
    <w:p w14:paraId="263D8D75" w14:textId="77777777" w:rsidR="003E69BA" w:rsidRDefault="003E69BA" w:rsidP="004B4D37">
      <w:pPr>
        <w:spacing w:after="0" w:line="240" w:lineRule="auto"/>
        <w:ind w:left="4536" w:hanging="10"/>
        <w:jc w:val="both"/>
        <w:rPr>
          <w:rFonts w:ascii="Century Gothic" w:eastAsia="Times New Roman" w:hAnsi="Century Gothic" w:cs="Courier New"/>
          <w:sz w:val="24"/>
          <w:szCs w:val="24"/>
          <w:lang w:eastAsia="pt-BR"/>
        </w:rPr>
      </w:pPr>
    </w:p>
    <w:p w14:paraId="6174062C"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1º - Esta lei dispõe sobre o respeito dos serviços públicos municipais à dignidade especial de crianças e adolescentes, pessoas em desenvolvimento e em condição de especial fragilidade psicológica.</w:t>
      </w:r>
    </w:p>
    <w:p w14:paraId="7BF1F321"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0C0929C2"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2º - Incumbe à família criar e educar seus filhos, crianças ou adolescentes, em conformidade com o art. 229 da Constituição Federal - CF - e com o art. 1.634 do Código Civil.</w:t>
      </w:r>
    </w:p>
    <w:p w14:paraId="290131B5" w14:textId="77777777" w:rsidR="001308D9" w:rsidRPr="001308D9" w:rsidRDefault="001308D9" w:rsidP="001308D9">
      <w:pPr>
        <w:spacing w:after="0" w:line="240" w:lineRule="auto"/>
        <w:jc w:val="both"/>
        <w:rPr>
          <w:rStyle w:val="normas-indices-artigo"/>
          <w:rFonts w:ascii="Century Gothic" w:eastAsia="Times New Roman" w:hAnsi="Century Gothic" w:cs="Times New Roman"/>
          <w:lang w:eastAsia="pt-BR"/>
        </w:rPr>
      </w:pPr>
    </w:p>
    <w:p w14:paraId="7C344BBD"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 1º - Os pais ou responsáveis têm o direito de que seus filhos menores recebam a educação moral e religiosa que esteja de acordo com suas convicções, conforme dispõe o art. 12, 4, da Convenção Americana sobre Direitos Humanos.</w:t>
      </w:r>
    </w:p>
    <w:p w14:paraId="2E5DB8F8"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 2º - Órgãos ou servidores públicos municipais podem cooperar com a formação moral de crianças e adolescentes, desde que, previamente, apresentem às famílias o material pedagógico, a cartilha ou o folder que pretendem utilizar ou ministrar em aula ou em atividade.</w:t>
      </w:r>
    </w:p>
    <w:p w14:paraId="5C8DC3F4"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26E25184"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3º - Os serviços públicos e os eventos patrocinados pelo poder público municipal devem respeitar as leis federais que proíbem a divulgação de imagem, de música ou de texto pornográfico ou obsceno para crianças ou adolescentes ou seu acesso a esse material, assim como garantir a sua proteção diante de conteúdos impróprios ao seu desenvolvimento psicológico.</w:t>
      </w:r>
    </w:p>
    <w:p w14:paraId="535DFE62"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57F4CFBD"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 1º - Para os efeitos desta lei, considera-se pornográfico ou obsceno áudio, vídeo, imagem, desenho ou texto escrito ou lido cujo conteúdo descreva ou contenha palavrão, imagem erótica ou de órgão genital, de relação sexual ou de ato libidinoso.</w:t>
      </w:r>
    </w:p>
    <w:p w14:paraId="559A8128"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 2º - O disposto neste artigo aplica-se a qualquer material impresso, sonoro, audiovisual ou imagem, ainda que didático, paradidático ou cartilha, ministrado, entregue ou colocado ao acesso de crianças e adolescentes, assim como a folder, outdoor ou a qualquer outra forma de divulgação em local público ou em evento autorizado ou patrocinado pelo poder público municipal, inclusive em mídias ou em redes sociais.</w:t>
      </w:r>
    </w:p>
    <w:p w14:paraId="2359D19F"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47CB7E6D"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 3º - A apresentação científico-biológica de informações sobre o ser humano e seu sistema reprodutivo é permitida, respeitada a idade apropriada.</w:t>
      </w:r>
    </w:p>
    <w:p w14:paraId="0D3EE4D6" w14:textId="77777777" w:rsidR="001308D9" w:rsidRPr="001308D9" w:rsidRDefault="001308D9" w:rsidP="001308D9">
      <w:pPr>
        <w:spacing w:after="0" w:line="240" w:lineRule="auto"/>
        <w:jc w:val="both"/>
        <w:rPr>
          <w:rStyle w:val="normas-indices-artigo"/>
          <w:rFonts w:ascii="Century Gothic" w:eastAsia="Times New Roman" w:hAnsi="Century Gothic" w:cs="Times New Roman"/>
          <w:lang w:eastAsia="pt-BR"/>
        </w:rPr>
      </w:pPr>
    </w:p>
    <w:p w14:paraId="1AC7C45F" w14:textId="1C3B6ECD" w:rsidR="003E69BA" w:rsidRPr="001308D9" w:rsidRDefault="001308D9"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lastRenderedPageBreak/>
        <w:t>A</w:t>
      </w:r>
      <w:r w:rsidR="003E69BA" w:rsidRPr="001308D9">
        <w:rPr>
          <w:rStyle w:val="normas-indices-artigo"/>
          <w:rFonts w:ascii="Century Gothic" w:eastAsia="Times New Roman" w:hAnsi="Century Gothic" w:cs="Times New Roman"/>
          <w:lang w:eastAsia="pt-BR"/>
        </w:rPr>
        <w:t>rt. 4º - Ao contratar serviços ou adquirir produtos de qualquer natureza, assim como ao patrocinar eventos, espetáculos públicos ou programas de rádio, televisão ou redes sociais, a administração direta ou indireta do Município fará constar cláusula obrigatória de respeito ao disposto no art. 3º desta lei pelo contratado, patrocinado ou beneficiado.</w:t>
      </w:r>
    </w:p>
    <w:p w14:paraId="40DD8D9B" w14:textId="77777777" w:rsidR="001308D9" w:rsidRPr="001308D9" w:rsidRDefault="001308D9" w:rsidP="001308D9">
      <w:pPr>
        <w:spacing w:after="0" w:line="240" w:lineRule="auto"/>
        <w:jc w:val="both"/>
        <w:rPr>
          <w:rStyle w:val="normas-indices-artigo"/>
          <w:rFonts w:ascii="Century Gothic" w:eastAsia="Times New Roman" w:hAnsi="Century Gothic" w:cs="Times New Roman"/>
          <w:lang w:eastAsia="pt-BR"/>
        </w:rPr>
      </w:pPr>
    </w:p>
    <w:p w14:paraId="32DCE8C1"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Parágrafo único - O disposto neste artigo aplica-se a contratações de propaganda ou publicidade, assim como aos atos de concessão de benefícios fiscais ou creditícios.</w:t>
      </w:r>
    </w:p>
    <w:p w14:paraId="4A5926B1"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592E3F13"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5º - Os serviços públicos municipais, especialmente os sistemas de saúde, de direitos humanos, de assistência social e de ensino infantil e fundamental, obedecerão às normas estabelecidas pela CF, pelas leis federais brasileiras e pelo disposto nesta lei.</w:t>
      </w:r>
    </w:p>
    <w:p w14:paraId="5E368F85"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492B1021"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6º - A violação ao disposto nesta lei implica imposição de multa de 15% (quinze por cento) do valor do contrato ou patrocínio e, no caso de servidor público municipal faltoso, de multa no valor de 5% (cinco por cento) de sua remuneração ao tempo do cometimento da infração, por cada ato ilícito, sem prejuízo das responsabilidades civil, administrativa e criminal.</w:t>
      </w:r>
    </w:p>
    <w:p w14:paraId="141697A2"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41C3ECEE"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Parágrafo único - A multas de que trata o caput deste artigo serão revertidas para o Fundo Municipal dos Direitos da Criança e do Adolescente - FMDCA, para a criação e o financiamento de programas com o fim específico de prevenir a exposição de crianças e adolescentes a conteúdo pornográfico.</w:t>
      </w:r>
    </w:p>
    <w:p w14:paraId="0B665B64"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70CCB61C"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7º - Qualquer pessoa jurídica ou física, inclusive pais ou responsáveis, poderá representar à administração pública municipal e ao Ministério Público quando houver violação ao disposto nesta lei.</w:t>
      </w:r>
    </w:p>
    <w:p w14:paraId="78734582"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6C794DEB"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8º - O Poder Executivo regulamentará esta lei no prazo de 90 (noventa) dias, contado a partir da data de sua publicação.</w:t>
      </w:r>
    </w:p>
    <w:p w14:paraId="04AF13CE"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p>
    <w:p w14:paraId="0D4F4127" w14:textId="77777777" w:rsidR="003E69BA" w:rsidRPr="001308D9" w:rsidRDefault="003E69BA" w:rsidP="001308D9">
      <w:pPr>
        <w:spacing w:after="0" w:line="240" w:lineRule="auto"/>
        <w:jc w:val="both"/>
        <w:rPr>
          <w:rStyle w:val="normas-indices-artigo"/>
          <w:rFonts w:ascii="Century Gothic" w:eastAsia="Times New Roman" w:hAnsi="Century Gothic" w:cs="Times New Roman"/>
          <w:lang w:eastAsia="pt-BR"/>
        </w:rPr>
      </w:pPr>
      <w:r w:rsidRPr="001308D9">
        <w:rPr>
          <w:rStyle w:val="normas-indices-artigo"/>
          <w:rFonts w:ascii="Century Gothic" w:eastAsia="Times New Roman" w:hAnsi="Century Gothic" w:cs="Times New Roman"/>
          <w:lang w:eastAsia="pt-BR"/>
        </w:rPr>
        <w:t>Art. 9º - Esta lei entra em vigor na data de sua publicação.</w:t>
      </w:r>
    </w:p>
    <w:p w14:paraId="0F18B93E" w14:textId="6C51E907" w:rsidR="004B4D37" w:rsidRPr="001308D9" w:rsidRDefault="004B4D37" w:rsidP="00243C29">
      <w:pPr>
        <w:spacing w:after="0" w:line="240" w:lineRule="auto"/>
        <w:jc w:val="center"/>
      </w:pPr>
      <w:r w:rsidRPr="001308D9">
        <w:t xml:space="preserve"> </w:t>
      </w:r>
    </w:p>
    <w:p w14:paraId="249B63EB" w14:textId="77777777" w:rsidR="004B4D37" w:rsidRPr="001308D9" w:rsidRDefault="004B4D37" w:rsidP="00243C29">
      <w:pPr>
        <w:spacing w:after="0" w:line="240" w:lineRule="auto"/>
        <w:jc w:val="center"/>
        <w:rPr>
          <w:rFonts w:ascii="Century Gothic" w:hAnsi="Century Gothic"/>
        </w:rPr>
      </w:pPr>
    </w:p>
    <w:p w14:paraId="6D8DA53A" w14:textId="5E4B701C" w:rsidR="001225E9" w:rsidRPr="001308D9" w:rsidRDefault="001225E9" w:rsidP="00243C29">
      <w:pPr>
        <w:spacing w:after="0" w:line="240" w:lineRule="auto"/>
        <w:jc w:val="center"/>
        <w:rPr>
          <w:rFonts w:ascii="Century Gothic" w:hAnsi="Century Gothic"/>
        </w:rPr>
      </w:pPr>
      <w:r w:rsidRPr="001308D9">
        <w:rPr>
          <w:rFonts w:ascii="Century Gothic" w:hAnsi="Century Gothic"/>
        </w:rPr>
        <w:t xml:space="preserve">Sala de Sessões, </w:t>
      </w:r>
      <w:r w:rsidR="00DA735C" w:rsidRPr="001308D9">
        <w:rPr>
          <w:rFonts w:ascii="Century Gothic" w:hAnsi="Century Gothic"/>
        </w:rPr>
        <w:t xml:space="preserve">31 de Maio </w:t>
      </w:r>
      <w:r w:rsidR="006F791D" w:rsidRPr="001308D9">
        <w:rPr>
          <w:rFonts w:ascii="Century Gothic" w:hAnsi="Century Gothic"/>
        </w:rPr>
        <w:t>de 2021.</w:t>
      </w:r>
    </w:p>
    <w:p w14:paraId="6E089D53" w14:textId="77777777" w:rsidR="00F6695C" w:rsidRPr="001308D9" w:rsidRDefault="00F6695C" w:rsidP="00243C29">
      <w:pPr>
        <w:spacing w:after="0" w:line="240" w:lineRule="auto"/>
        <w:jc w:val="center"/>
        <w:rPr>
          <w:rFonts w:ascii="Century Gothic" w:hAnsi="Century Gothic"/>
        </w:rPr>
      </w:pPr>
    </w:p>
    <w:p w14:paraId="1C7F3700" w14:textId="21F34C3B" w:rsidR="00F6695C" w:rsidRPr="001308D9" w:rsidRDefault="006F791D" w:rsidP="00243C29">
      <w:pPr>
        <w:spacing w:after="0" w:line="240" w:lineRule="auto"/>
        <w:jc w:val="center"/>
        <w:rPr>
          <w:rFonts w:ascii="Century Gothic" w:hAnsi="Century Gothic"/>
        </w:rPr>
      </w:pPr>
      <w:r w:rsidRPr="001308D9">
        <w:rPr>
          <w:rFonts w:ascii="Century Gothic" w:hAnsi="Century Gothic"/>
          <w:noProof/>
          <w:lang w:eastAsia="pt-BR"/>
        </w:rPr>
        <w:drawing>
          <wp:inline distT="0" distB="0" distL="0" distR="0" wp14:anchorId="04478945" wp14:editId="683C3052">
            <wp:extent cx="3327400" cy="67494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4504" cy="686525"/>
                    </a:xfrm>
                    <a:prstGeom prst="rect">
                      <a:avLst/>
                    </a:prstGeom>
                  </pic:spPr>
                </pic:pic>
              </a:graphicData>
            </a:graphic>
          </wp:inline>
        </w:drawing>
      </w:r>
    </w:p>
    <w:p w14:paraId="576DB358" w14:textId="77777777" w:rsidR="00F6695C" w:rsidRPr="001308D9" w:rsidRDefault="00F6695C" w:rsidP="00243C29">
      <w:pPr>
        <w:spacing w:after="0" w:line="240" w:lineRule="auto"/>
        <w:jc w:val="center"/>
        <w:rPr>
          <w:rFonts w:ascii="Century Gothic" w:hAnsi="Century Gothic"/>
        </w:rPr>
      </w:pPr>
      <w:r w:rsidRPr="001308D9">
        <w:rPr>
          <w:rFonts w:ascii="Century Gothic" w:hAnsi="Century Gothic"/>
        </w:rPr>
        <w:t>IVSON GOMES DE CASTRO</w:t>
      </w:r>
    </w:p>
    <w:p w14:paraId="26862796" w14:textId="77777777" w:rsidR="00F6695C" w:rsidRPr="001308D9" w:rsidRDefault="00F6695C" w:rsidP="00243C29">
      <w:pPr>
        <w:spacing w:after="0" w:line="240" w:lineRule="auto"/>
        <w:jc w:val="center"/>
        <w:rPr>
          <w:rFonts w:ascii="Century Gothic" w:hAnsi="Century Gothic"/>
        </w:rPr>
      </w:pPr>
      <w:r w:rsidRPr="001308D9">
        <w:rPr>
          <w:rFonts w:ascii="Century Gothic" w:hAnsi="Century Gothic"/>
        </w:rPr>
        <w:t>VEREADOR</w:t>
      </w:r>
    </w:p>
    <w:p w14:paraId="20A9FE6C" w14:textId="582365AD" w:rsidR="006F791D" w:rsidRDefault="006F791D" w:rsidP="00243C29">
      <w:pPr>
        <w:spacing w:after="0" w:line="240" w:lineRule="auto"/>
        <w:jc w:val="both"/>
        <w:rPr>
          <w:rFonts w:ascii="Century Gothic" w:hAnsi="Century Gothic"/>
          <w:sz w:val="24"/>
          <w:szCs w:val="24"/>
        </w:rPr>
      </w:pPr>
    </w:p>
    <w:p w14:paraId="610075F6" w14:textId="69BA4F95" w:rsidR="00737B18" w:rsidRDefault="00737B18" w:rsidP="00243C29">
      <w:pPr>
        <w:spacing w:after="0" w:line="240" w:lineRule="auto"/>
        <w:jc w:val="both"/>
        <w:rPr>
          <w:rFonts w:ascii="Century Gothic" w:hAnsi="Century Gothic"/>
          <w:sz w:val="24"/>
          <w:szCs w:val="24"/>
        </w:rPr>
      </w:pPr>
    </w:p>
    <w:p w14:paraId="2B8BF294" w14:textId="32E5DD60" w:rsidR="00737B18" w:rsidRDefault="00737B18" w:rsidP="00243C29">
      <w:pPr>
        <w:spacing w:after="0" w:line="240" w:lineRule="auto"/>
        <w:jc w:val="both"/>
        <w:rPr>
          <w:rFonts w:ascii="Century Gothic" w:hAnsi="Century Gothic"/>
          <w:sz w:val="24"/>
          <w:szCs w:val="24"/>
        </w:rPr>
      </w:pPr>
    </w:p>
    <w:p w14:paraId="376A7BE6" w14:textId="0B200019" w:rsidR="00737B18" w:rsidRDefault="00737B18" w:rsidP="00243C29">
      <w:pPr>
        <w:spacing w:after="0" w:line="240" w:lineRule="auto"/>
        <w:jc w:val="both"/>
        <w:rPr>
          <w:rFonts w:ascii="Century Gothic" w:hAnsi="Century Gothic"/>
          <w:sz w:val="24"/>
          <w:szCs w:val="24"/>
        </w:rPr>
      </w:pPr>
    </w:p>
    <w:p w14:paraId="65B074E1" w14:textId="3D80C59D" w:rsidR="00737B18" w:rsidRDefault="00737B18" w:rsidP="00243C29">
      <w:pPr>
        <w:spacing w:after="0" w:line="240" w:lineRule="auto"/>
        <w:jc w:val="both"/>
        <w:rPr>
          <w:rFonts w:ascii="Century Gothic" w:hAnsi="Century Gothic"/>
          <w:sz w:val="24"/>
          <w:szCs w:val="24"/>
        </w:rPr>
      </w:pPr>
    </w:p>
    <w:p w14:paraId="1029E4C4" w14:textId="3239E6AE" w:rsidR="00737B18" w:rsidRDefault="00737B18" w:rsidP="00243C29">
      <w:pPr>
        <w:spacing w:after="0" w:line="240" w:lineRule="auto"/>
        <w:jc w:val="both"/>
        <w:rPr>
          <w:rFonts w:ascii="Century Gothic" w:hAnsi="Century Gothic"/>
          <w:sz w:val="24"/>
          <w:szCs w:val="24"/>
        </w:rPr>
      </w:pPr>
    </w:p>
    <w:p w14:paraId="03A97F8F" w14:textId="384CC920" w:rsidR="00595140" w:rsidRDefault="00DA735C" w:rsidP="00243C29">
      <w:pPr>
        <w:spacing w:after="0" w:line="240" w:lineRule="auto"/>
        <w:jc w:val="both"/>
        <w:rPr>
          <w:rFonts w:ascii="Century Gothic" w:hAnsi="Century Gothic"/>
          <w:sz w:val="24"/>
          <w:szCs w:val="24"/>
        </w:rPr>
      </w:pPr>
      <w:r>
        <w:rPr>
          <w:rFonts w:ascii="Century Gothic" w:hAnsi="Century Gothic"/>
          <w:sz w:val="24"/>
          <w:szCs w:val="24"/>
        </w:rPr>
        <w:lastRenderedPageBreak/>
        <w:t>J</w:t>
      </w:r>
      <w:r w:rsidR="00595140" w:rsidRPr="006F791D">
        <w:rPr>
          <w:rFonts w:ascii="Century Gothic" w:hAnsi="Century Gothic"/>
          <w:sz w:val="24"/>
          <w:szCs w:val="24"/>
        </w:rPr>
        <w:t>USTIFICATIVA</w:t>
      </w:r>
      <w:r w:rsidR="00F6695C" w:rsidRPr="006F791D">
        <w:rPr>
          <w:rFonts w:ascii="Century Gothic" w:hAnsi="Century Gothic"/>
          <w:sz w:val="24"/>
          <w:szCs w:val="24"/>
        </w:rPr>
        <w:t>:</w:t>
      </w:r>
    </w:p>
    <w:p w14:paraId="54B9192C" w14:textId="77777777" w:rsidR="00737B18" w:rsidRDefault="00737B18" w:rsidP="00737B18">
      <w:pPr>
        <w:spacing w:after="0" w:line="240" w:lineRule="auto"/>
        <w:jc w:val="both"/>
        <w:rPr>
          <w:rFonts w:ascii="Century Gothic" w:hAnsi="Century Gothic"/>
          <w:sz w:val="24"/>
          <w:szCs w:val="24"/>
        </w:rPr>
      </w:pPr>
      <w:r>
        <w:rPr>
          <w:rFonts w:ascii="Century Gothic" w:hAnsi="Century Gothic"/>
          <w:sz w:val="24"/>
          <w:szCs w:val="24"/>
        </w:rPr>
        <w:t xml:space="preserve"> </w:t>
      </w:r>
    </w:p>
    <w:p w14:paraId="72189345" w14:textId="77777777" w:rsidR="00737B18"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Constituição Federal, a Convenção Americana de Direitos Humanos e diversas leis federais estabelecem um sistema sólido de proteção a crianças e adolescentes contra violações à sua dignidade humana, especialmente nos âmbitos de sua integridade física, sexual e psicológica. </w:t>
      </w:r>
    </w:p>
    <w:p w14:paraId="4CBEF7E2" w14:textId="77777777" w:rsidR="00737B18" w:rsidRDefault="00737B18" w:rsidP="00737B18">
      <w:pPr>
        <w:spacing w:after="0" w:line="240" w:lineRule="auto"/>
        <w:ind w:firstLine="708"/>
        <w:jc w:val="both"/>
        <w:rPr>
          <w:rFonts w:ascii="Century Gothic" w:hAnsi="Century Gothic"/>
        </w:rPr>
      </w:pPr>
      <w:r w:rsidRPr="00737B18">
        <w:rPr>
          <w:rFonts w:ascii="Century Gothic" w:hAnsi="Century Gothic"/>
        </w:rPr>
        <w:t xml:space="preserve">Segundo a Constituição Federal a família tem o dever de criar e assistir os filhos. Mas a mesma família que tem o dever de criar os filhos, goza de total proteção do estado, o que está previsto na mesma Carta Magna, vejamos: </w:t>
      </w:r>
    </w:p>
    <w:p w14:paraId="5E06BA0B" w14:textId="77777777" w:rsidR="003E69BA" w:rsidRDefault="00737B18" w:rsidP="002B6BC5">
      <w:pPr>
        <w:spacing w:after="0" w:line="240" w:lineRule="auto"/>
        <w:ind w:left="3402"/>
        <w:jc w:val="both"/>
        <w:rPr>
          <w:rFonts w:ascii="Century Gothic" w:hAnsi="Century Gothic"/>
        </w:rPr>
      </w:pPr>
      <w:r w:rsidRPr="00737B18">
        <w:rPr>
          <w:rFonts w:ascii="Century Gothic" w:hAnsi="Century Gothic"/>
        </w:rPr>
        <w:t xml:space="preserve">Art. 226. A família, base da sociedade, tem especial proteção do Estado. </w:t>
      </w:r>
    </w:p>
    <w:p w14:paraId="73F15E73" w14:textId="431C13DC" w:rsidR="00737B18" w:rsidRDefault="00737B18" w:rsidP="002B6BC5">
      <w:pPr>
        <w:spacing w:after="0" w:line="240" w:lineRule="auto"/>
        <w:ind w:left="3402"/>
        <w:jc w:val="both"/>
        <w:rPr>
          <w:rFonts w:ascii="Century Gothic" w:hAnsi="Century Gothic"/>
        </w:rPr>
      </w:pPr>
      <w:r w:rsidRPr="00737B18">
        <w:rPr>
          <w:rFonts w:ascii="Century Gothic" w:hAnsi="Century Gothic"/>
        </w:rPr>
        <w:t xml:space="preserve">Art. 229. Os pais têm o dever de assistir, criar e educar os filhos menores, e os filhos maiores têm o dever de ajudar e amparar os pais na velhice, carência ou enfermidade. </w:t>
      </w:r>
    </w:p>
    <w:p w14:paraId="4D6B9C48" w14:textId="77777777" w:rsidR="00737B18"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Constituição Federal prevê inclusive o cuidado como a programação de rádio e TV quando estabelece: </w:t>
      </w:r>
    </w:p>
    <w:p w14:paraId="1E822B08" w14:textId="77777777" w:rsidR="00737B18" w:rsidRDefault="00737B18" w:rsidP="002B6BC5">
      <w:pPr>
        <w:spacing w:after="0" w:line="240" w:lineRule="auto"/>
        <w:ind w:left="3402"/>
        <w:jc w:val="both"/>
        <w:rPr>
          <w:rFonts w:ascii="Century Gothic" w:hAnsi="Century Gothic"/>
        </w:rPr>
      </w:pPr>
      <w:r w:rsidRPr="00737B18">
        <w:rPr>
          <w:rFonts w:ascii="Century Gothic" w:hAnsi="Century Gothic"/>
        </w:rPr>
        <w:t>Art. 221. A produção e a programação das emissoras de rádio e televisão atenderão aos seguintes princípios:</w:t>
      </w:r>
    </w:p>
    <w:p w14:paraId="2706AC7C"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 IV - respeito aos valores éticos e sociais da pessoa e da família. </w:t>
      </w:r>
    </w:p>
    <w:p w14:paraId="019C308E"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Convenção Americana de Direitos Humanos – também conhecida como Pacto de San Jose da Costa Rica estabelece: </w:t>
      </w:r>
    </w:p>
    <w:p w14:paraId="542BD1BE"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Art. 12. Liberdade de consciência e de religião. 4. Os pais (…) têm direito a que seus filhos recebam a educação religiosa e moral que esteja de acordo com suas próprias convicções. </w:t>
      </w:r>
    </w:p>
    <w:p w14:paraId="7C163BAD"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Lei 10.406, de 10 de janeiro de 2002, o novo Código Civil dispõe: </w:t>
      </w:r>
    </w:p>
    <w:p w14:paraId="1964877E"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Art. 1.634. Compete a ambos os pais, qualquer que seja a sua situação conjugal, o pleno exercício do poder familiar, que consiste em, quanto aos filhos: I – dirigir-lhes a criação e a educação; (…) V – representá-los, até aos dezesseis anos, nos atos da vida civil,(…) ; </w:t>
      </w:r>
    </w:p>
    <w:p w14:paraId="33AEAE99" w14:textId="77777777" w:rsidR="003E69BA" w:rsidRDefault="00737B18" w:rsidP="002B6BC5">
      <w:pPr>
        <w:spacing w:after="0" w:line="240" w:lineRule="auto"/>
        <w:ind w:left="3402"/>
        <w:jc w:val="both"/>
        <w:rPr>
          <w:rFonts w:ascii="Century Gothic" w:hAnsi="Century Gothic"/>
        </w:rPr>
      </w:pPr>
      <w:r w:rsidRPr="00737B18">
        <w:rPr>
          <w:rFonts w:ascii="Century Gothic" w:hAnsi="Century Gothic"/>
        </w:rPr>
        <w:t xml:space="preserve">Art. 932 São também responsáveis pela reparação civil: </w:t>
      </w:r>
    </w:p>
    <w:p w14:paraId="2065EAE3" w14:textId="77777777" w:rsidR="003E69BA" w:rsidRDefault="00737B18" w:rsidP="002B6BC5">
      <w:pPr>
        <w:spacing w:after="0" w:line="240" w:lineRule="auto"/>
        <w:ind w:left="3402"/>
        <w:jc w:val="both"/>
        <w:rPr>
          <w:rFonts w:ascii="Century Gothic" w:hAnsi="Century Gothic"/>
        </w:rPr>
      </w:pPr>
      <w:r w:rsidRPr="00737B18">
        <w:rPr>
          <w:rFonts w:ascii="Century Gothic" w:hAnsi="Century Gothic"/>
        </w:rPr>
        <w:t xml:space="preserve">I – os pais, pelos filhos menores que estiverem sob sua autoridade e em sua companhia; </w:t>
      </w:r>
    </w:p>
    <w:p w14:paraId="304AAB01" w14:textId="77777777" w:rsidR="003E69BA" w:rsidRDefault="003E69BA" w:rsidP="003E69BA">
      <w:pPr>
        <w:spacing w:after="0" w:line="240" w:lineRule="auto"/>
        <w:jc w:val="both"/>
        <w:rPr>
          <w:rFonts w:ascii="Century Gothic" w:hAnsi="Century Gothic"/>
        </w:rPr>
      </w:pPr>
    </w:p>
    <w:p w14:paraId="547B268A" w14:textId="00F0C88E" w:rsidR="00737B18" w:rsidRDefault="00737B18" w:rsidP="003E69BA">
      <w:pPr>
        <w:spacing w:after="0" w:line="240" w:lineRule="auto"/>
        <w:ind w:firstLine="708"/>
        <w:jc w:val="both"/>
        <w:rPr>
          <w:rFonts w:ascii="Century Gothic" w:hAnsi="Century Gothic"/>
        </w:rPr>
      </w:pPr>
      <w:r w:rsidRPr="00737B18">
        <w:rPr>
          <w:rFonts w:ascii="Century Gothic" w:hAnsi="Century Gothic"/>
        </w:rPr>
        <w:t xml:space="preserve">O Estatuto da Criança e do Adolescente determina: </w:t>
      </w:r>
    </w:p>
    <w:p w14:paraId="07F5B587"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Art. 78. As revistas e publicações contendo material impróprio ou inadequado a crianças e adolescentes deverão ser comercializadas em embalagem lacrada, com a advertência de seu conteúdo. </w:t>
      </w:r>
    </w:p>
    <w:p w14:paraId="0A3F5B45"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Parágrafo único. As editoras cuidarão para que as capas que contenham mensagens </w:t>
      </w:r>
      <w:r w:rsidRPr="00737B18">
        <w:rPr>
          <w:rFonts w:ascii="Century Gothic" w:hAnsi="Century Gothic"/>
        </w:rPr>
        <w:lastRenderedPageBreak/>
        <w:t xml:space="preserve">pornográficas ou obscenas sejam protegidas com embalagem opaca. </w:t>
      </w:r>
    </w:p>
    <w:p w14:paraId="3B8F20C7" w14:textId="77777777" w:rsidR="003E69BA" w:rsidRDefault="003E69BA" w:rsidP="002B6BC5">
      <w:pPr>
        <w:spacing w:after="0" w:line="240" w:lineRule="auto"/>
        <w:ind w:left="3402"/>
        <w:jc w:val="both"/>
        <w:rPr>
          <w:rFonts w:ascii="Century Gothic" w:hAnsi="Century Gothic"/>
        </w:rPr>
      </w:pPr>
    </w:p>
    <w:p w14:paraId="142643F7" w14:textId="77777777" w:rsidR="002B6BC5" w:rsidRDefault="00737B18" w:rsidP="002B6BC5">
      <w:pPr>
        <w:spacing w:after="0" w:line="240" w:lineRule="auto"/>
        <w:ind w:left="3402"/>
        <w:jc w:val="both"/>
        <w:rPr>
          <w:rFonts w:ascii="Century Gothic" w:hAnsi="Century Gothic"/>
        </w:rPr>
      </w:pPr>
      <w:r w:rsidRPr="00737B18">
        <w:rPr>
          <w:rFonts w:ascii="Century Gothic" w:hAnsi="Century Gothic"/>
        </w:rPr>
        <w:t xml:space="preserve">Art. 79. As revistas e publicações destinadas ao público infanto-juvenil (…), deverão respeitar os valores éticos e sociais da pessoa e da família. </w:t>
      </w:r>
    </w:p>
    <w:p w14:paraId="7CE94858" w14:textId="77777777" w:rsidR="003E69BA" w:rsidRDefault="003E69BA" w:rsidP="00737B18">
      <w:pPr>
        <w:spacing w:after="0" w:line="240" w:lineRule="auto"/>
        <w:ind w:firstLine="708"/>
        <w:jc w:val="both"/>
        <w:rPr>
          <w:rFonts w:ascii="Century Gothic" w:hAnsi="Century Gothic"/>
        </w:rPr>
      </w:pPr>
    </w:p>
    <w:p w14:paraId="32D76AB6" w14:textId="7BFDFFF4" w:rsidR="003E69BA" w:rsidRDefault="00737B18" w:rsidP="003E69BA">
      <w:pPr>
        <w:spacing w:after="0" w:line="240" w:lineRule="auto"/>
        <w:ind w:left="3402"/>
        <w:jc w:val="both"/>
        <w:rPr>
          <w:rFonts w:ascii="Century Gothic" w:hAnsi="Century Gothic"/>
        </w:rPr>
      </w:pPr>
      <w:r w:rsidRPr="00737B18">
        <w:rPr>
          <w:rFonts w:ascii="Century Gothic" w:hAnsi="Century Gothic"/>
        </w:rPr>
        <w:t>Na sequência destacamos que o Código Penal Brasileiro, determina</w:t>
      </w:r>
      <w:r w:rsidR="003E69BA">
        <w:rPr>
          <w:rFonts w:ascii="Century Gothic" w:hAnsi="Century Gothic"/>
        </w:rPr>
        <w:t>:</w:t>
      </w:r>
      <w:r w:rsidR="002B6BC5">
        <w:rPr>
          <w:rFonts w:ascii="Century Gothic" w:hAnsi="Century Gothic"/>
        </w:rPr>
        <w:t xml:space="preserve"> </w:t>
      </w:r>
    </w:p>
    <w:p w14:paraId="1C895C98" w14:textId="184A3C83" w:rsidR="003E69BA" w:rsidRDefault="003E69BA" w:rsidP="003E69BA">
      <w:pPr>
        <w:spacing w:after="0" w:line="240" w:lineRule="auto"/>
        <w:ind w:left="3402"/>
        <w:jc w:val="both"/>
        <w:rPr>
          <w:rFonts w:ascii="Century Gothic" w:hAnsi="Century Gothic"/>
        </w:rPr>
      </w:pPr>
      <w:r>
        <w:rPr>
          <w:rFonts w:ascii="Century Gothic" w:hAnsi="Century Gothic"/>
        </w:rPr>
        <w:t>Art. 218-A -</w:t>
      </w:r>
      <w:r w:rsidR="00737B18" w:rsidRPr="00737B18">
        <w:rPr>
          <w:rFonts w:ascii="Century Gothic" w:hAnsi="Century Gothic"/>
        </w:rPr>
        <w:t xml:space="preserve"> Praticar, na presença de alguém menor de 14 (catorze) anos, ou induzi-lo a presenciar, conjunção carnal ou outro ato libidinoso, a fim de satisfazer lascívia própria ou de outrem</w:t>
      </w:r>
      <w:r>
        <w:rPr>
          <w:rFonts w:ascii="Century Gothic" w:hAnsi="Century Gothic"/>
        </w:rPr>
        <w:t>.</w:t>
      </w:r>
      <w:r w:rsidR="00737B18" w:rsidRPr="00737B18">
        <w:rPr>
          <w:rFonts w:ascii="Century Gothic" w:hAnsi="Century Gothic"/>
        </w:rPr>
        <w:t xml:space="preserve"> </w:t>
      </w:r>
    </w:p>
    <w:p w14:paraId="31B0D153" w14:textId="77777777" w:rsidR="003E69BA" w:rsidRDefault="00737B18" w:rsidP="003E69BA">
      <w:pPr>
        <w:spacing w:after="0" w:line="240" w:lineRule="auto"/>
        <w:ind w:left="3402"/>
        <w:jc w:val="both"/>
        <w:rPr>
          <w:rFonts w:ascii="Century Gothic" w:hAnsi="Century Gothic"/>
        </w:rPr>
      </w:pPr>
      <w:r w:rsidRPr="00737B18">
        <w:rPr>
          <w:rFonts w:ascii="Century Gothic" w:hAnsi="Century Gothic"/>
        </w:rPr>
        <w:t>Pena – reclusão, de 2 (doi</w:t>
      </w:r>
      <w:r w:rsidR="003E69BA">
        <w:rPr>
          <w:rFonts w:ascii="Century Gothic" w:hAnsi="Century Gothic"/>
        </w:rPr>
        <w:t>s) a 4 (quatro) anos.</w:t>
      </w:r>
    </w:p>
    <w:p w14:paraId="31EC195A" w14:textId="77777777" w:rsidR="003E69BA" w:rsidRDefault="003E69BA" w:rsidP="003E69BA">
      <w:pPr>
        <w:spacing w:after="0" w:line="240" w:lineRule="auto"/>
        <w:ind w:left="3402"/>
        <w:jc w:val="both"/>
        <w:rPr>
          <w:rFonts w:ascii="Century Gothic" w:hAnsi="Century Gothic"/>
        </w:rPr>
      </w:pPr>
    </w:p>
    <w:p w14:paraId="5E54593B" w14:textId="675B3AD0" w:rsidR="002B6BC5" w:rsidRDefault="00737B18" w:rsidP="003E69BA">
      <w:pPr>
        <w:spacing w:after="0" w:line="240" w:lineRule="auto"/>
        <w:ind w:firstLine="708"/>
        <w:jc w:val="both"/>
        <w:rPr>
          <w:rFonts w:ascii="Century Gothic" w:hAnsi="Century Gothic"/>
        </w:rPr>
      </w:pPr>
      <w:r w:rsidRPr="00737B18">
        <w:rPr>
          <w:rFonts w:ascii="Century Gothic" w:hAnsi="Century Gothic"/>
        </w:rPr>
        <w:t xml:space="preserve">Todas estas normas formam um sistema coeso que garante os direitos da criança, do adolescente e da família, e têm aplicação em todo o território nacional, inclusive em escolas estaduais e municipais. </w:t>
      </w:r>
    </w:p>
    <w:p w14:paraId="21C14299"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Ao analisar os documentos públicos, por exemplo, do Ministério da Educação - MEC ou do Ministério da Saúde, na formulação e execução de políticas públicas dirigidas a crianças e adolescentes – assim como os documentos de Secretarias de Educação ou saúde estaduais ou municipais – percebe-se a quase absoluta ausência de menção às normas jurídicas que estabelecem os direitos da família em relação aos filhos menores. O conceito legal de incapacidade civil das crianças é desconhecido em creches e escolas. </w:t>
      </w:r>
    </w:p>
    <w:p w14:paraId="5433BA62" w14:textId="77777777" w:rsidR="003E69BA"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família tem o direito constitucional de criar e educar os filhos, e a ordem jurídica lhe incumbe o direito específico de estabelecer a sua formação e educação moral e religiosa, conforme dispõe a Convenção Americana de Direitos Humanos, em seu art. 12, 4. </w:t>
      </w:r>
    </w:p>
    <w:p w14:paraId="2F6E4854" w14:textId="5F821A64"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 Supremo Tribunal Federal confere a este diploma internacional caráter normativo supralegal no Brasil. (RE 466343). Até os 16 anos de idade, os pais representam legalmente os filhos, pois, de acordo com a lei civil, são absolutamente incapazes. (art. 1.630 e 1.634, V, ambos do Código Civil). A negligência da família no sustento material ou escolar dos filhos é tão relevante que sua prática é punida pelo Código Penal nos artigos 244 e 246. </w:t>
      </w:r>
    </w:p>
    <w:p w14:paraId="163EA034"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responsabilidade da família é de tal monta que o Código Civil estabelece em seu art. 932, inciso I, que os pais são responsáveis civis pela indenização de todos os atos danosos praticados pelos filhos menores. Há até mesmo uma norma punitiva de conteúdo aberto que submete os pais a multas de até 20 (vinte) salários de referência, caso “descumpram dolosa ou culposa os deveres inerentes ao poder parental.” (Estatuto da Criança e do Adolescente, art. 249). </w:t>
      </w:r>
    </w:p>
    <w:p w14:paraId="3C92DB9F" w14:textId="34D97A89" w:rsidR="00737B18"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Assim, se a família possui tamanha responsabilidade legal face aos filhos menores, nada mais natural e necessário do que conferir aos pais o direito de decidir quanto à sua educação moral (e religiosa), como visto. Não faria sentido conferir a terceiros – escola, órgãos da saúde, etc. – a prerrogativa de apresentar valores morais em desacordo ou sem o conhecimento da família, quando são os pais que têm o ônus de arcar com as consequências do comportamento dos filhos. É a família que sempre paga a conta! </w:t>
      </w:r>
    </w:p>
    <w:p w14:paraId="6E59505A"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lastRenderedPageBreak/>
        <w:t xml:space="preserve">Em suma, a lei estabelece uma série de responsabilidades para os pais em relação aos filhos, além do ônus natural – psicológico, emocional e social – de proteger os filhos menores diante das diversas situações de risco. </w:t>
      </w:r>
    </w:p>
    <w:p w14:paraId="2180DDB1"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Ora, se a lei impõe à família o ônus de sustento e responsabilidade pelos atos dos filhos menores, é natural que ela – a família – tenha a primazia em sua formação moral. A escola e os professores podem e devem auxiliar a família na formação moral dos alunos, mas desde que previamente obtenham a anuência dos pais ou responsáveis. </w:t>
      </w:r>
    </w:p>
    <w:p w14:paraId="1B675C7D" w14:textId="67C58313" w:rsidR="00C41961" w:rsidRDefault="00737B18" w:rsidP="00737B18">
      <w:pPr>
        <w:spacing w:after="0" w:line="240" w:lineRule="auto"/>
        <w:ind w:firstLine="708"/>
        <w:jc w:val="both"/>
        <w:rPr>
          <w:rFonts w:ascii="Century Gothic" w:hAnsi="Century Gothic"/>
        </w:rPr>
      </w:pPr>
      <w:r w:rsidRPr="00737B18">
        <w:rPr>
          <w:rFonts w:ascii="Century Gothic" w:hAnsi="Century Gothic"/>
        </w:rPr>
        <w:t xml:space="preserve">Infelizmente, por desconhecimento, má-fé ou despreparo, não apenas professores, mas diversos serviços e servidores públicos que atendem crianças e adolescentes desrespeitam os direitos fundamentais infanto-juvenis e o direito da família na formação moral dos filhos, e expõem crianças e adolescentes a conteúdo pornográfico, obsceno ou impróprio, bem como as induzem à erotização precoce. </w:t>
      </w:r>
    </w:p>
    <w:p w14:paraId="13D09CAE" w14:textId="6753F1A9"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 lei não permite a professores ou agentes de saúde, ou qualquer outro servidor público, ministrar ou apresentar temas da sexualidade adulta a crianças e adolescentes – abordando conceitos impróprios ou complexos como masturbação, poligamia, sexo anal, bissexualidade, prostituição, entre outros – sem o conhecimento da família, ou até mesmo contra as orientações dos responsáveis. </w:t>
      </w:r>
    </w:p>
    <w:p w14:paraId="3094903B"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 cuidado é muito pertinente, inclusive, em razão do Brasil ser um dos principais destinos mundiais de turismo sexual, inclusive de pedófilos, sendo certo que a apresentação prematura ou inadequada de temas sexuais a pessoas em desenvolvimento pode colaborar para a sua erotização precoce. Os que praticam estas ilegalidades, utilizam o pretexto de educação sexual ou de combate à discriminação ou ao bullying, para, na verdade, apresentar temas sexuais adultos a crianças e manipular o entendimento de crianças e adolescentes sobre sexualidade. </w:t>
      </w:r>
    </w:p>
    <w:p w14:paraId="1F425D73"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Como fundamento jurídico, recorrem a princípios gerais de combate a discriminação (art. 3º da Constituição) ou da formação da cidadania ou liberdade pedagógica (art. 205 da Constituição), todavia, esquecendo-se que TODAS as normas jurídicas devem ser interpretadas e aplicadas em conjunto e de forma harmônica. </w:t>
      </w:r>
    </w:p>
    <w:p w14:paraId="74975929" w14:textId="5007CDAF"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Em outras palavras, a escola e os professores têm competências constitucionais e legais sim, mas a família também, e o protagonismo constitucional em relação aos filhos menores é da família, consoante art. 226 e 229, já analisados. </w:t>
      </w:r>
    </w:p>
    <w:p w14:paraId="071B36DD"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Em outras palavras, a família se esforça para orientar e criar seus filhos menores conforme seus valores morais, e não está sabendo que cartilhas da área da saúde, materiais didáticos ou de conteúdo de direitos humanos e alguns professores estão influenciando seus filhos em sentido contrário. </w:t>
      </w:r>
    </w:p>
    <w:p w14:paraId="6A878AE1" w14:textId="3A147E4C" w:rsidR="002B6BC5" w:rsidRDefault="001308D9" w:rsidP="00737B18">
      <w:pPr>
        <w:spacing w:after="0" w:line="240" w:lineRule="auto"/>
        <w:ind w:firstLine="708"/>
        <w:jc w:val="both"/>
        <w:rPr>
          <w:rFonts w:ascii="Century Gothic" w:hAnsi="Century Gothic"/>
        </w:rPr>
      </w:pPr>
      <w:r>
        <w:rPr>
          <w:rFonts w:ascii="Century Gothic" w:hAnsi="Century Gothic"/>
        </w:rPr>
        <w:t>E</w:t>
      </w:r>
      <w:r w:rsidR="00737B18" w:rsidRPr="00737B18">
        <w:rPr>
          <w:rFonts w:ascii="Century Gothic" w:hAnsi="Century Gothic"/>
        </w:rPr>
        <w:t xml:space="preserve">special atenção merecem os livros didáticos e paradidáticos, assim como cartilhas apresentadas a crianças e adolescentes em escolas ou órgãos de saúde, contendo textos ou imagens eróticas ou inapropriadas ao entendimento infanto-juvenil, e quase sempre sem o conhecimento das famílias. </w:t>
      </w:r>
    </w:p>
    <w:p w14:paraId="1A6AE0D3" w14:textId="77777777" w:rsidR="00C41961" w:rsidRDefault="00737B18" w:rsidP="00737B18">
      <w:pPr>
        <w:spacing w:after="0" w:line="240" w:lineRule="auto"/>
        <w:ind w:firstLine="708"/>
        <w:jc w:val="both"/>
        <w:rPr>
          <w:rFonts w:ascii="Century Gothic" w:hAnsi="Century Gothic"/>
        </w:rPr>
      </w:pPr>
      <w:r w:rsidRPr="00737B18">
        <w:rPr>
          <w:rFonts w:ascii="Century Gothic" w:hAnsi="Century Gothic"/>
        </w:rPr>
        <w:t>A relevância e influência de imagens nas atitudes de crianças e adolescentes são constatadas por estudos da Organização Mundial da Saúde - OMS. Em recente estudo – “</w:t>
      </w:r>
      <w:proofErr w:type="spellStart"/>
      <w:r w:rsidRPr="00737B18">
        <w:rPr>
          <w:rFonts w:ascii="Century Gothic" w:hAnsi="Century Gothic"/>
        </w:rPr>
        <w:t>Free-Smoke</w:t>
      </w:r>
      <w:proofErr w:type="spellEnd"/>
      <w:r w:rsidRPr="00737B18">
        <w:rPr>
          <w:rFonts w:ascii="Century Gothic" w:hAnsi="Century Gothic"/>
        </w:rPr>
        <w:t xml:space="preserve"> </w:t>
      </w:r>
      <w:proofErr w:type="spellStart"/>
      <w:r w:rsidRPr="00737B18">
        <w:rPr>
          <w:rFonts w:ascii="Century Gothic" w:hAnsi="Century Gothic"/>
        </w:rPr>
        <w:t>Movies</w:t>
      </w:r>
      <w:proofErr w:type="spellEnd"/>
      <w:r w:rsidRPr="00737B18">
        <w:rPr>
          <w:rFonts w:ascii="Century Gothic" w:hAnsi="Century Gothic"/>
        </w:rPr>
        <w:t xml:space="preserve">: </w:t>
      </w:r>
      <w:proofErr w:type="spellStart"/>
      <w:r w:rsidRPr="00737B18">
        <w:rPr>
          <w:rFonts w:ascii="Century Gothic" w:hAnsi="Century Gothic"/>
        </w:rPr>
        <w:t>from</w:t>
      </w:r>
      <w:proofErr w:type="spellEnd"/>
      <w:r w:rsidRPr="00737B18">
        <w:rPr>
          <w:rFonts w:ascii="Century Gothic" w:hAnsi="Century Gothic"/>
        </w:rPr>
        <w:t xml:space="preserve"> </w:t>
      </w:r>
      <w:proofErr w:type="spellStart"/>
      <w:r w:rsidRPr="00737B18">
        <w:rPr>
          <w:rFonts w:ascii="Century Gothic" w:hAnsi="Century Gothic"/>
        </w:rPr>
        <w:t>evidence</w:t>
      </w:r>
      <w:proofErr w:type="spellEnd"/>
      <w:r w:rsidRPr="00737B18">
        <w:rPr>
          <w:rFonts w:ascii="Century Gothic" w:hAnsi="Century Gothic"/>
        </w:rPr>
        <w:t xml:space="preserve"> </w:t>
      </w:r>
      <w:proofErr w:type="spellStart"/>
      <w:r w:rsidRPr="00737B18">
        <w:rPr>
          <w:rFonts w:ascii="Century Gothic" w:hAnsi="Century Gothic"/>
        </w:rPr>
        <w:t>to</w:t>
      </w:r>
      <w:proofErr w:type="spellEnd"/>
      <w:r w:rsidRPr="00737B18">
        <w:rPr>
          <w:rFonts w:ascii="Century Gothic" w:hAnsi="Century Gothic"/>
        </w:rPr>
        <w:t xml:space="preserve"> </w:t>
      </w:r>
      <w:proofErr w:type="spellStart"/>
      <w:r w:rsidRPr="00737B18">
        <w:rPr>
          <w:rFonts w:ascii="Century Gothic" w:hAnsi="Century Gothic"/>
        </w:rPr>
        <w:t>action</w:t>
      </w:r>
      <w:proofErr w:type="spellEnd"/>
      <w:r w:rsidRPr="00737B18">
        <w:rPr>
          <w:rFonts w:ascii="Century Gothic" w:hAnsi="Century Gothic"/>
        </w:rPr>
        <w:t xml:space="preserve">”- a OMS constata a enorme influência de imagens impróprias em crianças e </w:t>
      </w:r>
      <w:r w:rsidRPr="00737B18">
        <w:rPr>
          <w:rFonts w:ascii="Century Gothic" w:hAnsi="Century Gothic"/>
        </w:rPr>
        <w:lastRenderedPageBreak/>
        <w:t xml:space="preserve">adolescentes, a ponto de induzi-los de forma abusiva ao consumo de cigarros, tão somente ao visualizar imagens de pessoas fumando em filmes. </w:t>
      </w:r>
    </w:p>
    <w:p w14:paraId="60C20483"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Por esta razão, inclusive, recomenda que filmes com este conteúdo sejam restritos a maiores de 18 anos. Se a imagem de fumantes em filmes influencia o comportamento de crianças e adolescentes em iniciar o consumo de cigarros, certamente influência semelhante e de mesma perversidade terão as imagens eróticas, pornográficas ou obscenas, afinal, em ambos os casos, a causa é a fragilidade psicológica de crianças e adolescentes, ou seja, sua condição de pessoas em desenvolvimento que os torna excepcionalmente vulneráveis a influências externas, especialmente da mídia. </w:t>
      </w:r>
    </w:p>
    <w:p w14:paraId="558A17AC" w14:textId="0E3400BE" w:rsidR="00C41961" w:rsidRDefault="00737B18" w:rsidP="00737B18">
      <w:pPr>
        <w:spacing w:after="0" w:line="240" w:lineRule="auto"/>
        <w:ind w:firstLine="708"/>
        <w:jc w:val="both"/>
        <w:rPr>
          <w:rFonts w:ascii="Century Gothic" w:hAnsi="Century Gothic"/>
        </w:rPr>
      </w:pPr>
      <w:r w:rsidRPr="00737B18">
        <w:rPr>
          <w:rFonts w:ascii="Century Gothic" w:hAnsi="Century Gothic"/>
        </w:rPr>
        <w:t xml:space="preserve">Especial proteção merecem as crianças, pois lhes falta o discernimento, a maturidade e a experiência para conduzir sua própria vontade, sendo necessário protegê-las de mensagens impróprias ao seu entendimento, uma vez que ainda estão em formação os critérios que regularão suas vontades, desejos, interesses, moral e caráter. </w:t>
      </w:r>
    </w:p>
    <w:p w14:paraId="1EFB4CFD"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 Conselho Federal de Psicologia reconhece que a autonomia intelectual e moral são construídas paulatinamente. É preciso esperar, em média, a idade dos 12 (doze) anos para que o indivíduo possua um repertório cognitivo capaz de liberá-lo, tanto do ponto de vista cognitivo quanto moral, da forte referência a fontes exteriores de prestígio e autoridade. </w:t>
      </w:r>
    </w:p>
    <w:p w14:paraId="16AA16D2" w14:textId="0DF25FBE" w:rsidR="002B6BC5" w:rsidRDefault="001308D9" w:rsidP="00737B18">
      <w:pPr>
        <w:spacing w:after="0" w:line="240" w:lineRule="auto"/>
        <w:ind w:firstLine="708"/>
        <w:jc w:val="both"/>
        <w:rPr>
          <w:rFonts w:ascii="Century Gothic" w:hAnsi="Century Gothic"/>
        </w:rPr>
      </w:pPr>
      <w:r>
        <w:rPr>
          <w:rFonts w:ascii="Century Gothic" w:hAnsi="Century Gothic"/>
        </w:rPr>
        <w:t>I</w:t>
      </w:r>
      <w:r w:rsidR="00737B18" w:rsidRPr="00737B18">
        <w:rPr>
          <w:rFonts w:ascii="Century Gothic" w:hAnsi="Century Gothic"/>
        </w:rPr>
        <w:t xml:space="preserve">mportante considerar recente decisão do Superior Tribunal de Justiça, no Recurso Especial 1.543.267-SC que considerou como pornográficas, para fins de tipificação no crime previsto no art. 241-B do ECA, fotos “com enfoque nos órgãos genitais de adolescente, ainda que cobertos por peças de roupa, e de poses nitidamente sensuais em que explorada sua sexualidade com conotação obscena e pornográfica.” A erotização precoce de crianças e adolescentes é responsável direta pelo aumento violação da dignidade sexual de mulheres e também dos casos de estupro de vulnerável. </w:t>
      </w:r>
    </w:p>
    <w:p w14:paraId="5260BEDB"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 Ministério Público de São Paulo identificou em pesquisa publicada em seu site oficial, em 2015, grande incidência de condenações de adolescentes por estupro de vulnerável. A erotização ilegal e abusiva de crianças e adolescentes, inclusive em salas de aula, é responsável direta pelo aumento dos crimes sexuais contra mulheres. Um exemplo cotidiano desta violação de direitos infanto-juvenis, e dos direitos das famílias é a ministração de aulas a crianças sobre atos preparatórios à relação sexual, como colocar preservativos inclusive com a simulação de sexo oral com as crianças e tudo isso sem consultar os pais ou sem a presença deles. É uma violação á dignidade da criança prepará-la ou </w:t>
      </w:r>
      <w:proofErr w:type="spellStart"/>
      <w:r w:rsidRPr="00737B18">
        <w:rPr>
          <w:rFonts w:ascii="Century Gothic" w:hAnsi="Century Gothic"/>
        </w:rPr>
        <w:t>estimulála</w:t>
      </w:r>
      <w:proofErr w:type="spellEnd"/>
      <w:r w:rsidRPr="00737B18">
        <w:rPr>
          <w:rFonts w:ascii="Century Gothic" w:hAnsi="Century Gothic"/>
        </w:rPr>
        <w:t xml:space="preserve"> a uma atividade (relação sexual) que a lei proíbe praticar. </w:t>
      </w:r>
    </w:p>
    <w:p w14:paraId="263314CE"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O Código Penal estabelece: Estupro de vulnerável. Art. 217-A. Ter conjunção carnal ou praticar outro ato libidinoso com menor de 14 (catorze) anos: </w:t>
      </w:r>
      <w:r w:rsidR="002B6BC5">
        <w:rPr>
          <w:rFonts w:ascii="Century Gothic" w:hAnsi="Century Gothic"/>
        </w:rPr>
        <w:t xml:space="preserve"> </w:t>
      </w:r>
      <w:r w:rsidRPr="00737B18">
        <w:rPr>
          <w:rFonts w:ascii="Century Gothic" w:hAnsi="Century Gothic"/>
        </w:rPr>
        <w:t xml:space="preserve">Pena – reclusão, de 8 (oito) a 15 (quinze) anos. Ao punir severamente quem praticar ato sexual com menor de 14 anos de idade, menino ou menina, a lei está proclamando que somente a partir desta idade adolescentes adquirem capacidade legal para consentir na prática sexual. </w:t>
      </w:r>
    </w:p>
    <w:p w14:paraId="167F52CD"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Importante salientar que o crime se configura até mesmo quando a vítima consente expressamente na prática sexual. É preciso esclarecer que, se um adolescente de 16 anos praticar relação sexual com criança de 11 anos, responderá por ato infracional análogo a estupro. Pelos mesmos fundamentos, não se deve ensinar crianças a: conduzir veículos, pois só estão autorizados por </w:t>
      </w:r>
      <w:r w:rsidRPr="00737B18">
        <w:rPr>
          <w:rFonts w:ascii="Century Gothic" w:hAnsi="Century Gothic"/>
        </w:rPr>
        <w:lastRenderedPageBreak/>
        <w:t xml:space="preserve">lei a fazê-lo aos 18 anos. - manusear armas de fogo, idem. Ingerir bebida alcoólica, idem. </w:t>
      </w:r>
    </w:p>
    <w:p w14:paraId="42914601" w14:textId="77777777" w:rsidR="002B6BC5" w:rsidRDefault="00737B18" w:rsidP="00737B18">
      <w:pPr>
        <w:spacing w:after="0" w:line="240" w:lineRule="auto"/>
        <w:ind w:firstLine="708"/>
        <w:jc w:val="both"/>
        <w:rPr>
          <w:rFonts w:ascii="Century Gothic" w:hAnsi="Century Gothic"/>
        </w:rPr>
      </w:pPr>
      <w:r w:rsidRPr="00737B18">
        <w:rPr>
          <w:rFonts w:ascii="Century Gothic" w:hAnsi="Century Gothic"/>
        </w:rPr>
        <w:t>É importante que os órgãos ou agentes públicos colaborem com as famílias na formação moral e sexual de crianças e adolescentes, porém, antes de fazê-lo, devem obter a anuência expressa de cada família e apresentar o conteúdo e forma de ministração do tema que pretendem lecionar aos alunos menores. Redes sociais e mídias, especialmente outdoors e programas patrocinados em rádio e televisão, receberam abordagem específica, afinal, possuem imenso alcance social.</w:t>
      </w:r>
    </w:p>
    <w:p w14:paraId="264FC53B" w14:textId="77777777" w:rsidR="001308D9" w:rsidRDefault="00737B18" w:rsidP="00737B18">
      <w:pPr>
        <w:spacing w:after="0" w:line="240" w:lineRule="auto"/>
        <w:ind w:firstLine="708"/>
        <w:jc w:val="both"/>
        <w:rPr>
          <w:rFonts w:ascii="Century Gothic" w:hAnsi="Century Gothic"/>
        </w:rPr>
      </w:pPr>
      <w:r w:rsidRPr="00737B18">
        <w:rPr>
          <w:rFonts w:ascii="Century Gothic" w:hAnsi="Century Gothic"/>
        </w:rPr>
        <w:t xml:space="preserve">Não é admissível que o poder público autorize a instalação de outdoors ou patrocine programas que violem os direitos da infância, especialmente com conteúdo pornográfico ou obsceno. O mesmo se aplica às contratações de serviços ou aquisições de produtos. </w:t>
      </w:r>
    </w:p>
    <w:p w14:paraId="098C8BF4" w14:textId="5D4E2DAA" w:rsidR="002B6BC5" w:rsidRDefault="00737B18" w:rsidP="00737B18">
      <w:pPr>
        <w:spacing w:after="0" w:line="240" w:lineRule="auto"/>
        <w:ind w:firstLine="708"/>
        <w:jc w:val="both"/>
        <w:rPr>
          <w:rFonts w:ascii="Century Gothic" w:hAnsi="Century Gothic"/>
        </w:rPr>
      </w:pPr>
      <w:r w:rsidRPr="00737B18">
        <w:rPr>
          <w:rFonts w:ascii="Century Gothic" w:hAnsi="Century Gothic"/>
        </w:rPr>
        <w:t xml:space="preserve">As penas pecuniárias foram estipuladas segundo um juízo ponderado de proporcionalidade diante de cada situação, utilizando o critério da Lei nº 8.429/92 (Lei da Improbidade Administrativa), que ao estabelecer multa, faz referência ao valor da remuneração do servidor faltoso. </w:t>
      </w:r>
    </w:p>
    <w:p w14:paraId="7D75C0B6" w14:textId="77777777" w:rsidR="00C41961" w:rsidRDefault="00737B18" w:rsidP="00737B18">
      <w:pPr>
        <w:spacing w:after="0" w:line="240" w:lineRule="auto"/>
        <w:ind w:firstLine="708"/>
        <w:jc w:val="both"/>
        <w:rPr>
          <w:rFonts w:ascii="Century Gothic" w:hAnsi="Century Gothic"/>
        </w:rPr>
      </w:pPr>
      <w:r w:rsidRPr="00737B18">
        <w:rPr>
          <w:rFonts w:ascii="Century Gothic" w:hAnsi="Century Gothic"/>
        </w:rPr>
        <w:t xml:space="preserve">No caso de contratos ou patrocínios, o percentual de 15% (quinze por cento) objetiva desestimular a torpeza de quem deseja auferir lucro com a desrespeito à fragilidade psicológica e dignidade humana especial das crianças. No caso de servidores públicos, a fixação de multa no percentual de 5% (cinco por cento) de sua remuneração ao tempo da infração objetiva conferir seriedade ao exercício da função pública, em respeito às leis que protegem a infância e a família contra violações de direitos. </w:t>
      </w:r>
    </w:p>
    <w:p w14:paraId="4F41C421" w14:textId="296F075F" w:rsidR="00737B18" w:rsidRPr="00737B18" w:rsidRDefault="00737B18" w:rsidP="00737B18">
      <w:pPr>
        <w:spacing w:after="0" w:line="240" w:lineRule="auto"/>
        <w:ind w:firstLine="708"/>
        <w:jc w:val="both"/>
        <w:rPr>
          <w:rFonts w:ascii="Century Gothic" w:eastAsia="Times New Roman" w:hAnsi="Century Gothic" w:cs="Courier New"/>
          <w:lang w:eastAsia="pt-BR"/>
        </w:rPr>
      </w:pPr>
      <w:r w:rsidRPr="00737B18">
        <w:rPr>
          <w:rFonts w:ascii="Century Gothic" w:hAnsi="Century Gothic"/>
        </w:rPr>
        <w:t>Esta lei vai garantir a eficácia e o respeito aos direitos da infância e adolescência, conscientizando as famílias, a sociedade civil e os servidores públicos acerca da Constituição e das leis vigentes no país. Esta a razão pela qual se repete trechos da Constituição e das Leis vigentes. As leis e a Constituição devem ser respeitadas em todo o Brasil, inclusive em escolas e salas de aula.</w:t>
      </w:r>
    </w:p>
    <w:p w14:paraId="68274663" w14:textId="5C079E46" w:rsidR="00D76F91" w:rsidRPr="00737B18" w:rsidRDefault="00322F7B" w:rsidP="00243C29">
      <w:pPr>
        <w:spacing w:after="0" w:line="240" w:lineRule="auto"/>
        <w:ind w:firstLine="708"/>
        <w:jc w:val="both"/>
        <w:rPr>
          <w:rFonts w:ascii="Century Gothic" w:hAnsi="Century Gothic"/>
        </w:rPr>
      </w:pPr>
      <w:r w:rsidRPr="00737B18">
        <w:rPr>
          <w:rFonts w:ascii="Century Gothic" w:hAnsi="Century Gothic"/>
        </w:rPr>
        <w:t xml:space="preserve">Pelo exposto, </w:t>
      </w:r>
      <w:r w:rsidR="00645437" w:rsidRPr="00737B18">
        <w:rPr>
          <w:rFonts w:ascii="Century Gothic" w:hAnsi="Century Gothic"/>
        </w:rPr>
        <w:t>considerando a importância desta matéria, conto</w:t>
      </w:r>
      <w:r w:rsidRPr="00737B18">
        <w:rPr>
          <w:rFonts w:ascii="Century Gothic" w:hAnsi="Century Gothic"/>
        </w:rPr>
        <w:t xml:space="preserve"> com a aprovação pelos nobres pares </w:t>
      </w:r>
      <w:r w:rsidR="00D76F91" w:rsidRPr="00737B18">
        <w:rPr>
          <w:rFonts w:ascii="Century Gothic" w:hAnsi="Century Gothic"/>
        </w:rPr>
        <w:t xml:space="preserve">do presente </w:t>
      </w:r>
      <w:r w:rsidR="00272A69" w:rsidRPr="00737B18">
        <w:rPr>
          <w:rFonts w:ascii="Century Gothic" w:hAnsi="Century Gothic"/>
        </w:rPr>
        <w:t>ante</w:t>
      </w:r>
      <w:r w:rsidR="00D76F91" w:rsidRPr="00737B18">
        <w:rPr>
          <w:rFonts w:ascii="Century Gothic" w:hAnsi="Century Gothic"/>
        </w:rPr>
        <w:t>projeto de lei.</w:t>
      </w:r>
    </w:p>
    <w:p w14:paraId="1FE79D25" w14:textId="138468E3" w:rsidR="00737B18" w:rsidRDefault="00737B18" w:rsidP="00243C29">
      <w:pPr>
        <w:spacing w:after="0" w:line="240" w:lineRule="auto"/>
        <w:ind w:firstLine="708"/>
        <w:jc w:val="both"/>
        <w:rPr>
          <w:rFonts w:ascii="Century Gothic" w:hAnsi="Century Gothic"/>
          <w:sz w:val="24"/>
          <w:szCs w:val="24"/>
        </w:rPr>
      </w:pPr>
    </w:p>
    <w:p w14:paraId="59B89B23" w14:textId="77777777" w:rsidR="00737B18" w:rsidRPr="006F791D" w:rsidRDefault="00737B18" w:rsidP="00243C29">
      <w:pPr>
        <w:spacing w:after="0" w:line="240" w:lineRule="auto"/>
        <w:ind w:firstLine="708"/>
        <w:jc w:val="both"/>
        <w:rPr>
          <w:rFonts w:ascii="Century Gothic" w:hAnsi="Century Gothic"/>
          <w:sz w:val="24"/>
          <w:szCs w:val="24"/>
        </w:rPr>
      </w:pPr>
    </w:p>
    <w:sectPr w:rsidR="00737B18" w:rsidRPr="006F791D" w:rsidSect="007A2F46">
      <w:headerReference w:type="default" r:id="rId9"/>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18C71" w14:textId="77777777" w:rsidR="00460C65" w:rsidRDefault="00460C65" w:rsidP="007A2F46">
      <w:pPr>
        <w:spacing w:after="0" w:line="240" w:lineRule="auto"/>
      </w:pPr>
      <w:r>
        <w:separator/>
      </w:r>
    </w:p>
  </w:endnote>
  <w:endnote w:type="continuationSeparator" w:id="0">
    <w:p w14:paraId="45148342" w14:textId="77777777" w:rsidR="00460C65" w:rsidRDefault="00460C65" w:rsidP="007A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B685E" w14:textId="77777777" w:rsidR="00460C65" w:rsidRDefault="00460C65" w:rsidP="007A2F46">
      <w:pPr>
        <w:spacing w:after="0" w:line="240" w:lineRule="auto"/>
      </w:pPr>
      <w:r>
        <w:separator/>
      </w:r>
    </w:p>
  </w:footnote>
  <w:footnote w:type="continuationSeparator" w:id="0">
    <w:p w14:paraId="3C3E133D" w14:textId="77777777" w:rsidR="00460C65" w:rsidRDefault="00460C65" w:rsidP="007A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8AC29" w14:textId="77777777" w:rsidR="00040104" w:rsidRDefault="00040104" w:rsidP="00040104">
    <w:pPr>
      <w:pStyle w:val="Cabealho"/>
      <w:ind w:left="-1701"/>
      <w:rPr>
        <w:noProof/>
      </w:rPr>
    </w:pPr>
  </w:p>
  <w:p w14:paraId="7C415964" w14:textId="77777777" w:rsidR="00040104" w:rsidRDefault="00040104" w:rsidP="00040104">
    <w:pPr>
      <w:pStyle w:val="Cabealho"/>
      <w:ind w:left="-1701"/>
    </w:pPr>
    <w:r>
      <w:rPr>
        <w:noProof/>
        <w:lang w:eastAsia="pt-BR"/>
      </w:rPr>
      <w:drawing>
        <wp:inline distT="0" distB="0" distL="0" distR="0" wp14:anchorId="2E9BD51A" wp14:editId="46D81C47">
          <wp:extent cx="7782085" cy="93345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3602" cy="9576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5E53"/>
    <w:multiLevelType w:val="hybridMultilevel"/>
    <w:tmpl w:val="91CA7E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46"/>
    <w:rsid w:val="00016CFF"/>
    <w:rsid w:val="00016EEC"/>
    <w:rsid w:val="00034C8A"/>
    <w:rsid w:val="00040104"/>
    <w:rsid w:val="0007727B"/>
    <w:rsid w:val="000868B7"/>
    <w:rsid w:val="00102903"/>
    <w:rsid w:val="001225E9"/>
    <w:rsid w:val="00122D57"/>
    <w:rsid w:val="00124128"/>
    <w:rsid w:val="001308D9"/>
    <w:rsid w:val="001344B5"/>
    <w:rsid w:val="0019127C"/>
    <w:rsid w:val="00193504"/>
    <w:rsid w:val="001C43E8"/>
    <w:rsid w:val="001F77FC"/>
    <w:rsid w:val="00203713"/>
    <w:rsid w:val="002200B6"/>
    <w:rsid w:val="002253DC"/>
    <w:rsid w:val="00243C29"/>
    <w:rsid w:val="00272A69"/>
    <w:rsid w:val="00274B7C"/>
    <w:rsid w:val="0029045D"/>
    <w:rsid w:val="002A5A1B"/>
    <w:rsid w:val="002B6BC5"/>
    <w:rsid w:val="002D4258"/>
    <w:rsid w:val="002F37B0"/>
    <w:rsid w:val="00322F7B"/>
    <w:rsid w:val="0032647C"/>
    <w:rsid w:val="003869B1"/>
    <w:rsid w:val="003E69BA"/>
    <w:rsid w:val="003F773C"/>
    <w:rsid w:val="00460C65"/>
    <w:rsid w:val="00480D60"/>
    <w:rsid w:val="004963F4"/>
    <w:rsid w:val="004B4D37"/>
    <w:rsid w:val="004C5FCD"/>
    <w:rsid w:val="0055427B"/>
    <w:rsid w:val="00595140"/>
    <w:rsid w:val="005A7FFA"/>
    <w:rsid w:val="005B139A"/>
    <w:rsid w:val="005D6D23"/>
    <w:rsid w:val="005E2BB6"/>
    <w:rsid w:val="005E7DAE"/>
    <w:rsid w:val="005E7E83"/>
    <w:rsid w:val="00645437"/>
    <w:rsid w:val="00646D6B"/>
    <w:rsid w:val="006565F9"/>
    <w:rsid w:val="0069753E"/>
    <w:rsid w:val="006D2CEE"/>
    <w:rsid w:val="006F2EA5"/>
    <w:rsid w:val="006F791D"/>
    <w:rsid w:val="00737B18"/>
    <w:rsid w:val="00753BDD"/>
    <w:rsid w:val="007A2F46"/>
    <w:rsid w:val="007D247B"/>
    <w:rsid w:val="007E47C0"/>
    <w:rsid w:val="00810648"/>
    <w:rsid w:val="008235F9"/>
    <w:rsid w:val="00825B19"/>
    <w:rsid w:val="00827EDA"/>
    <w:rsid w:val="00844CCD"/>
    <w:rsid w:val="008A1B61"/>
    <w:rsid w:val="00947CF1"/>
    <w:rsid w:val="00973B68"/>
    <w:rsid w:val="009E304A"/>
    <w:rsid w:val="009F1501"/>
    <w:rsid w:val="00A8044C"/>
    <w:rsid w:val="00AD43BA"/>
    <w:rsid w:val="00B55EEF"/>
    <w:rsid w:val="00B8511A"/>
    <w:rsid w:val="00BA486F"/>
    <w:rsid w:val="00BC0992"/>
    <w:rsid w:val="00BE7577"/>
    <w:rsid w:val="00C41961"/>
    <w:rsid w:val="00C7385A"/>
    <w:rsid w:val="00CB0A94"/>
    <w:rsid w:val="00CD6EA0"/>
    <w:rsid w:val="00D662E2"/>
    <w:rsid w:val="00D76F91"/>
    <w:rsid w:val="00D9008F"/>
    <w:rsid w:val="00DA735C"/>
    <w:rsid w:val="00DB1F7A"/>
    <w:rsid w:val="00DC1E75"/>
    <w:rsid w:val="00DC3F3A"/>
    <w:rsid w:val="00DD08E5"/>
    <w:rsid w:val="00DF617A"/>
    <w:rsid w:val="00DF7FE3"/>
    <w:rsid w:val="00E23E31"/>
    <w:rsid w:val="00E3189D"/>
    <w:rsid w:val="00E56C9C"/>
    <w:rsid w:val="00E647E5"/>
    <w:rsid w:val="00E76ED2"/>
    <w:rsid w:val="00EB28BF"/>
    <w:rsid w:val="00EB5CFA"/>
    <w:rsid w:val="00ED655A"/>
    <w:rsid w:val="00EF1DB5"/>
    <w:rsid w:val="00EF49CD"/>
    <w:rsid w:val="00F06316"/>
    <w:rsid w:val="00F1043B"/>
    <w:rsid w:val="00F52D6B"/>
    <w:rsid w:val="00F6695C"/>
    <w:rsid w:val="00FC1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2F2D5"/>
  <w15:docId w15:val="{13FD39A1-A961-44D8-978D-137AF452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5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ED65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F46"/>
  </w:style>
  <w:style w:type="paragraph" w:styleId="Rodap">
    <w:name w:val="footer"/>
    <w:basedOn w:val="Normal"/>
    <w:link w:val="RodapChar"/>
    <w:uiPriority w:val="99"/>
    <w:unhideWhenUsed/>
    <w:rsid w:val="007A2F46"/>
    <w:pPr>
      <w:tabs>
        <w:tab w:val="center" w:pos="4252"/>
        <w:tab w:val="right" w:pos="8504"/>
      </w:tabs>
      <w:spacing w:after="0" w:line="240" w:lineRule="auto"/>
    </w:pPr>
  </w:style>
  <w:style w:type="character" w:customStyle="1" w:styleId="RodapChar">
    <w:name w:val="Rodapé Char"/>
    <w:basedOn w:val="Fontepargpadro"/>
    <w:link w:val="Rodap"/>
    <w:uiPriority w:val="99"/>
    <w:rsid w:val="007A2F46"/>
  </w:style>
  <w:style w:type="paragraph" w:styleId="Textodebalo">
    <w:name w:val="Balloon Text"/>
    <w:basedOn w:val="Normal"/>
    <w:link w:val="TextodebaloChar"/>
    <w:uiPriority w:val="99"/>
    <w:semiHidden/>
    <w:unhideWhenUsed/>
    <w:rsid w:val="006565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65F9"/>
    <w:rPr>
      <w:rFonts w:ascii="Tahoma" w:hAnsi="Tahoma" w:cs="Tahoma"/>
      <w:sz w:val="16"/>
      <w:szCs w:val="16"/>
    </w:rPr>
  </w:style>
  <w:style w:type="character" w:customStyle="1" w:styleId="Ttulo1Char">
    <w:name w:val="Título 1 Char"/>
    <w:basedOn w:val="Fontepargpadro"/>
    <w:link w:val="Ttulo1"/>
    <w:uiPriority w:val="9"/>
    <w:rsid w:val="00ED655A"/>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ED655A"/>
    <w:rPr>
      <w:rFonts w:asciiTheme="majorHAnsi" w:eastAsiaTheme="majorEastAsia" w:hAnsiTheme="majorHAnsi" w:cstheme="majorBidi"/>
      <w:b/>
      <w:bCs/>
      <w:color w:val="4472C4" w:themeColor="accent1"/>
      <w:sz w:val="26"/>
      <w:szCs w:val="26"/>
    </w:rPr>
  </w:style>
  <w:style w:type="paragraph" w:styleId="PargrafodaLista">
    <w:name w:val="List Paragraph"/>
    <w:basedOn w:val="Normal"/>
    <w:uiPriority w:val="34"/>
    <w:qFormat/>
    <w:rsid w:val="00ED655A"/>
    <w:pPr>
      <w:spacing w:after="200" w:line="276" w:lineRule="auto"/>
      <w:ind w:left="720"/>
      <w:contextualSpacing/>
    </w:pPr>
  </w:style>
  <w:style w:type="table" w:styleId="Tabelacomgrade">
    <w:name w:val="Table Grid"/>
    <w:basedOn w:val="Tabelanormal"/>
    <w:uiPriority w:val="39"/>
    <w:rsid w:val="00BA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E47C0"/>
    <w:rPr>
      <w:color w:val="0000FF"/>
      <w:u w:val="single"/>
    </w:rPr>
  </w:style>
  <w:style w:type="paragraph" w:styleId="Pr-formataoHTML">
    <w:name w:val="HTML Preformatted"/>
    <w:basedOn w:val="Normal"/>
    <w:link w:val="Pr-formataoHTMLChar"/>
    <w:uiPriority w:val="99"/>
    <w:semiHidden/>
    <w:unhideWhenUsed/>
    <w:rsid w:val="005B1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B139A"/>
    <w:rPr>
      <w:rFonts w:ascii="Courier New" w:eastAsia="Times New Roman" w:hAnsi="Courier New" w:cs="Courier New"/>
      <w:sz w:val="20"/>
      <w:szCs w:val="20"/>
      <w:lang w:eastAsia="pt-BR"/>
    </w:rPr>
  </w:style>
  <w:style w:type="paragraph" w:styleId="NormalWeb">
    <w:name w:val="Normal (Web)"/>
    <w:basedOn w:val="Normal"/>
    <w:uiPriority w:val="99"/>
    <w:unhideWhenUsed/>
    <w:rsid w:val="005B13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s-indices-artigo">
    <w:name w:val="normas-indices-artigo"/>
    <w:basedOn w:val="Fontepargpadro"/>
    <w:rsid w:val="005B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10682">
      <w:bodyDiv w:val="1"/>
      <w:marLeft w:val="0"/>
      <w:marRight w:val="0"/>
      <w:marTop w:val="0"/>
      <w:marBottom w:val="0"/>
      <w:divBdr>
        <w:top w:val="none" w:sz="0" w:space="0" w:color="auto"/>
        <w:left w:val="none" w:sz="0" w:space="0" w:color="auto"/>
        <w:bottom w:val="none" w:sz="0" w:space="0" w:color="auto"/>
        <w:right w:val="none" w:sz="0" w:space="0" w:color="auto"/>
      </w:divBdr>
    </w:div>
    <w:div w:id="49614067">
      <w:bodyDiv w:val="1"/>
      <w:marLeft w:val="0"/>
      <w:marRight w:val="0"/>
      <w:marTop w:val="0"/>
      <w:marBottom w:val="0"/>
      <w:divBdr>
        <w:top w:val="none" w:sz="0" w:space="0" w:color="auto"/>
        <w:left w:val="none" w:sz="0" w:space="0" w:color="auto"/>
        <w:bottom w:val="none" w:sz="0" w:space="0" w:color="auto"/>
        <w:right w:val="none" w:sz="0" w:space="0" w:color="auto"/>
      </w:divBdr>
    </w:div>
    <w:div w:id="371729502">
      <w:bodyDiv w:val="1"/>
      <w:marLeft w:val="0"/>
      <w:marRight w:val="0"/>
      <w:marTop w:val="0"/>
      <w:marBottom w:val="0"/>
      <w:divBdr>
        <w:top w:val="none" w:sz="0" w:space="0" w:color="auto"/>
        <w:left w:val="none" w:sz="0" w:space="0" w:color="auto"/>
        <w:bottom w:val="none" w:sz="0" w:space="0" w:color="auto"/>
        <w:right w:val="none" w:sz="0" w:space="0" w:color="auto"/>
      </w:divBdr>
    </w:div>
    <w:div w:id="503085944">
      <w:bodyDiv w:val="1"/>
      <w:marLeft w:val="0"/>
      <w:marRight w:val="0"/>
      <w:marTop w:val="0"/>
      <w:marBottom w:val="0"/>
      <w:divBdr>
        <w:top w:val="none" w:sz="0" w:space="0" w:color="auto"/>
        <w:left w:val="none" w:sz="0" w:space="0" w:color="auto"/>
        <w:bottom w:val="none" w:sz="0" w:space="0" w:color="auto"/>
        <w:right w:val="none" w:sz="0" w:space="0" w:color="auto"/>
      </w:divBdr>
    </w:div>
    <w:div w:id="1103770374">
      <w:bodyDiv w:val="1"/>
      <w:marLeft w:val="0"/>
      <w:marRight w:val="0"/>
      <w:marTop w:val="0"/>
      <w:marBottom w:val="0"/>
      <w:divBdr>
        <w:top w:val="none" w:sz="0" w:space="0" w:color="auto"/>
        <w:left w:val="none" w:sz="0" w:space="0" w:color="auto"/>
        <w:bottom w:val="none" w:sz="0" w:space="0" w:color="auto"/>
        <w:right w:val="none" w:sz="0" w:space="0" w:color="auto"/>
      </w:divBdr>
    </w:div>
    <w:div w:id="1289314478">
      <w:bodyDiv w:val="1"/>
      <w:marLeft w:val="0"/>
      <w:marRight w:val="0"/>
      <w:marTop w:val="0"/>
      <w:marBottom w:val="0"/>
      <w:divBdr>
        <w:top w:val="none" w:sz="0" w:space="0" w:color="auto"/>
        <w:left w:val="none" w:sz="0" w:space="0" w:color="auto"/>
        <w:bottom w:val="none" w:sz="0" w:space="0" w:color="auto"/>
        <w:right w:val="none" w:sz="0" w:space="0" w:color="auto"/>
      </w:divBdr>
    </w:div>
    <w:div w:id="1797720044">
      <w:bodyDiv w:val="1"/>
      <w:marLeft w:val="0"/>
      <w:marRight w:val="0"/>
      <w:marTop w:val="0"/>
      <w:marBottom w:val="0"/>
      <w:divBdr>
        <w:top w:val="none" w:sz="0" w:space="0" w:color="auto"/>
        <w:left w:val="none" w:sz="0" w:space="0" w:color="auto"/>
        <w:bottom w:val="none" w:sz="0" w:space="0" w:color="auto"/>
        <w:right w:val="none" w:sz="0" w:space="0" w:color="auto"/>
      </w:divBdr>
    </w:div>
    <w:div w:id="208603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606E-C001-454E-88F4-408153A4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2850</Words>
  <Characters>15396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JAQUELINE HELENA ALVES</cp:lastModifiedBy>
  <cp:revision>2</cp:revision>
  <cp:lastPrinted>2021-06-01T11:58:00Z</cp:lastPrinted>
  <dcterms:created xsi:type="dcterms:W3CDTF">2021-06-08T15:14:00Z</dcterms:created>
  <dcterms:modified xsi:type="dcterms:W3CDTF">2021-06-08T15:14:00Z</dcterms:modified>
</cp:coreProperties>
</file>