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3FF949" w14:textId="4232324B" w:rsidR="007E47C0" w:rsidRPr="003B4F49" w:rsidRDefault="0092619B" w:rsidP="00EA5BBE">
      <w:pPr>
        <w:spacing w:after="0" w:line="240" w:lineRule="auto"/>
        <w:ind w:left="2268"/>
        <w:jc w:val="both"/>
        <w:outlineLvl w:val="0"/>
        <w:rPr>
          <w:rFonts w:ascii="Century Gothic" w:eastAsia="Times New Roman" w:hAnsi="Century Gothic" w:cs="Calibri"/>
          <w:bCs/>
          <w:kern w:val="36"/>
          <w:lang w:eastAsia="pt-BR"/>
        </w:rPr>
      </w:pPr>
      <w:bookmarkStart w:id="0" w:name="_Hlk71490617"/>
      <w:r w:rsidRPr="003B4F49">
        <w:rPr>
          <w:rFonts w:ascii="Century Gothic" w:eastAsia="Times New Roman" w:hAnsi="Century Gothic" w:cs="Calibri"/>
          <w:bCs/>
          <w:kern w:val="36"/>
          <w:lang w:eastAsia="pt-BR"/>
        </w:rPr>
        <w:t>ANTEPROJETO DE LEI</w:t>
      </w:r>
      <w:r w:rsidR="007E47C0" w:rsidRPr="003B4F49">
        <w:rPr>
          <w:rFonts w:ascii="Century Gothic" w:eastAsia="Times New Roman" w:hAnsi="Century Gothic" w:cs="Calibri"/>
          <w:bCs/>
          <w:kern w:val="36"/>
          <w:lang w:eastAsia="pt-BR"/>
        </w:rPr>
        <w:t xml:space="preserve"> _______/2021.</w:t>
      </w:r>
    </w:p>
    <w:p w14:paraId="244B25CF" w14:textId="77777777" w:rsidR="002D4258" w:rsidRPr="003B4F49" w:rsidRDefault="002D4258" w:rsidP="00EA5BBE">
      <w:pPr>
        <w:spacing w:after="0" w:line="240" w:lineRule="auto"/>
        <w:ind w:left="2268"/>
        <w:jc w:val="both"/>
        <w:outlineLvl w:val="0"/>
        <w:rPr>
          <w:rFonts w:ascii="Century Gothic" w:eastAsia="Times New Roman" w:hAnsi="Century Gothic" w:cs="Calibri"/>
          <w:bCs/>
          <w:kern w:val="36"/>
          <w:lang w:eastAsia="pt-BR"/>
        </w:rPr>
      </w:pPr>
    </w:p>
    <w:bookmarkEnd w:id="0"/>
    <w:p w14:paraId="3A730320" w14:textId="3D7E56D2" w:rsidR="00B9512A" w:rsidRPr="00B9512A" w:rsidRDefault="00B9512A" w:rsidP="00B9512A">
      <w:pPr>
        <w:spacing w:after="0"/>
        <w:ind w:left="4536"/>
        <w:jc w:val="both"/>
        <w:rPr>
          <w:rFonts w:ascii="Century Gothic" w:hAnsi="Century Gothic" w:cs="Times-Roman"/>
        </w:rPr>
      </w:pPr>
      <w:r w:rsidRPr="00B9512A">
        <w:rPr>
          <w:rFonts w:ascii="Century Gothic" w:hAnsi="Century Gothic" w:cs="Times-Roman"/>
        </w:rPr>
        <w:t>RECONHECE O DIREITO DE PERICULOSIDADE AOS INTEGRANTES EFETIVOS E CONCURSADOS DA GUARDA MUNICIPAL DE SETE LAGOAS E DÁ OUTRAS PROVIDÊNCIAS.</w:t>
      </w:r>
    </w:p>
    <w:p w14:paraId="694BB2A5" w14:textId="77777777" w:rsidR="00B9512A" w:rsidRPr="00B9512A" w:rsidRDefault="00B9512A" w:rsidP="00B9512A">
      <w:pPr>
        <w:spacing w:after="0"/>
        <w:jc w:val="center"/>
        <w:rPr>
          <w:rFonts w:ascii="Century Gothic" w:hAnsi="Century Gothic" w:cs="Times-Roman"/>
          <w:b/>
        </w:rPr>
      </w:pPr>
    </w:p>
    <w:p w14:paraId="181163D9" w14:textId="21522562" w:rsidR="00B9512A" w:rsidRPr="00B9512A" w:rsidRDefault="00B9512A" w:rsidP="00B9512A">
      <w:pPr>
        <w:spacing w:after="0"/>
        <w:jc w:val="both"/>
        <w:rPr>
          <w:rFonts w:ascii="Century Gothic" w:hAnsi="Century Gothic" w:cs="Times-Roman"/>
        </w:rPr>
      </w:pPr>
      <w:r w:rsidRPr="00B9512A">
        <w:rPr>
          <w:rFonts w:ascii="Century Gothic" w:hAnsi="Century Gothic" w:cs="Times-Roman"/>
        </w:rPr>
        <w:t>Art. 1º Os integrantes do quadro de carreira, efetivos e concursados, da Guarda Municipal da cidade de Sete Lagoas, terão reconhecidos o direito ao adicional de periculosidade</w:t>
      </w:r>
      <w:r w:rsidR="00156A61">
        <w:rPr>
          <w:rFonts w:ascii="Century Gothic" w:hAnsi="Century Gothic" w:cs="Times-Roman"/>
        </w:rPr>
        <w:t xml:space="preserve">, em </w:t>
      </w:r>
      <w:r w:rsidR="00156A61" w:rsidRPr="00156A61">
        <w:rPr>
          <w:rFonts w:ascii="Century Gothic" w:hAnsi="Century Gothic" w:cs="Times-Roman"/>
        </w:rPr>
        <w:t xml:space="preserve">caráter permanente, conforme dispõe o art. 147 da Lei Complementar nº 192, de 30 de </w:t>
      </w:r>
      <w:r w:rsidR="009544E6" w:rsidRPr="00156A61">
        <w:rPr>
          <w:rFonts w:ascii="Century Gothic" w:hAnsi="Century Gothic" w:cs="Times-Roman"/>
        </w:rPr>
        <w:t>março</w:t>
      </w:r>
      <w:r w:rsidR="00156A61" w:rsidRPr="00156A61">
        <w:rPr>
          <w:rFonts w:ascii="Century Gothic" w:hAnsi="Century Gothic" w:cs="Times-Roman"/>
        </w:rPr>
        <w:t xml:space="preserve"> de 2016 –</w:t>
      </w:r>
      <w:r w:rsidR="00156A61">
        <w:rPr>
          <w:rFonts w:ascii="Century Gothic" w:hAnsi="Century Gothic" w:cs="Times-Roman"/>
        </w:rPr>
        <w:t xml:space="preserve"> </w:t>
      </w:r>
      <w:r w:rsidR="00156A61" w:rsidRPr="00156A61">
        <w:rPr>
          <w:rFonts w:ascii="Century Gothic" w:hAnsi="Century Gothic" w:cs="Times-Roman"/>
        </w:rPr>
        <w:t>Estatuto Dos Servidores Públicos Do Município de Sete Lagoas</w:t>
      </w:r>
      <w:r w:rsidR="009544E6">
        <w:rPr>
          <w:rFonts w:ascii="Century Gothic" w:hAnsi="Century Gothic" w:cs="Times-Roman"/>
        </w:rPr>
        <w:t xml:space="preserve">, </w:t>
      </w:r>
      <w:r w:rsidR="00156A61" w:rsidRPr="00156A61">
        <w:rPr>
          <w:rFonts w:ascii="Century Gothic" w:hAnsi="Century Gothic" w:cs="Times-Roman"/>
        </w:rPr>
        <w:t>Lei Complementar N°</w:t>
      </w:r>
      <w:r w:rsidR="00156A61">
        <w:rPr>
          <w:rFonts w:ascii="Century Gothic" w:hAnsi="Century Gothic" w:cs="Times-Roman"/>
        </w:rPr>
        <w:t xml:space="preserve"> </w:t>
      </w:r>
      <w:r w:rsidR="00156A61" w:rsidRPr="00156A61">
        <w:rPr>
          <w:rFonts w:ascii="Century Gothic" w:hAnsi="Century Gothic" w:cs="Times-Roman"/>
        </w:rPr>
        <w:t>81 de 04 de setembro de 2003</w:t>
      </w:r>
      <w:r w:rsidR="009544E6">
        <w:rPr>
          <w:rFonts w:ascii="Century Gothic" w:hAnsi="Century Gothic" w:cs="Times-Roman"/>
        </w:rPr>
        <w:t>,</w:t>
      </w:r>
      <w:r w:rsidR="00156A61" w:rsidRPr="00156A61">
        <w:rPr>
          <w:rFonts w:ascii="Century Gothic" w:hAnsi="Century Gothic" w:cs="Times-Roman"/>
        </w:rPr>
        <w:t xml:space="preserve"> NR-16</w:t>
      </w:r>
      <w:r w:rsidR="009544E6">
        <w:rPr>
          <w:rFonts w:ascii="Century Gothic" w:hAnsi="Century Gothic" w:cs="Times-Roman"/>
        </w:rPr>
        <w:t xml:space="preserve"> e</w:t>
      </w:r>
      <w:r w:rsidR="00156A61" w:rsidRPr="00156A61">
        <w:rPr>
          <w:rFonts w:ascii="Century Gothic" w:hAnsi="Century Gothic" w:cs="Times-Roman"/>
        </w:rPr>
        <w:t xml:space="preserve"> Anexo N°3, da Portaria 3.214/78 de 08/06/78, do Ministério do Trabalho e Emprego.  </w:t>
      </w:r>
    </w:p>
    <w:p w14:paraId="6E3031A1" w14:textId="77777777" w:rsidR="00B9512A" w:rsidRPr="00B9512A" w:rsidRDefault="00B9512A" w:rsidP="00B9512A">
      <w:pPr>
        <w:spacing w:after="0"/>
        <w:jc w:val="both"/>
        <w:rPr>
          <w:rFonts w:ascii="Century Gothic" w:hAnsi="Century Gothic" w:cs="Times-Roman"/>
        </w:rPr>
      </w:pPr>
    </w:p>
    <w:p w14:paraId="49ECD75D" w14:textId="02D2E7AD" w:rsidR="00B9512A" w:rsidRPr="00B9512A" w:rsidRDefault="00B9512A" w:rsidP="00B9512A">
      <w:pPr>
        <w:spacing w:after="0"/>
        <w:jc w:val="both"/>
        <w:rPr>
          <w:rFonts w:ascii="Century Gothic" w:hAnsi="Century Gothic" w:cs="Times-Roman"/>
        </w:rPr>
      </w:pPr>
      <w:r w:rsidRPr="00B9512A">
        <w:rPr>
          <w:rFonts w:ascii="Century Gothic" w:hAnsi="Century Gothic" w:cs="Times-Roman"/>
        </w:rPr>
        <w:t>Art. 2º O adicional de periculosidade será pago pela Municipalidade no prazo de regulamentação da presente lei, observadas as normas legais e vigentes sobre as questões trabalhistas.</w:t>
      </w:r>
    </w:p>
    <w:p w14:paraId="1E0ED797" w14:textId="77777777" w:rsidR="00B9512A" w:rsidRPr="00B9512A" w:rsidRDefault="00B9512A" w:rsidP="00B9512A">
      <w:pPr>
        <w:spacing w:after="0"/>
        <w:jc w:val="both"/>
        <w:rPr>
          <w:rFonts w:ascii="Century Gothic" w:hAnsi="Century Gothic" w:cs="Times-Roman"/>
        </w:rPr>
      </w:pPr>
    </w:p>
    <w:p w14:paraId="3A71764D" w14:textId="78D2E306" w:rsidR="00B9512A" w:rsidRPr="00B9512A" w:rsidRDefault="00B9512A" w:rsidP="00B9512A">
      <w:pPr>
        <w:spacing w:after="0"/>
        <w:jc w:val="both"/>
        <w:rPr>
          <w:rFonts w:ascii="Century Gothic" w:hAnsi="Century Gothic" w:cs="Times-Roman"/>
        </w:rPr>
      </w:pPr>
      <w:r w:rsidRPr="00B9512A">
        <w:rPr>
          <w:rFonts w:ascii="Century Gothic" w:hAnsi="Century Gothic" w:cs="Times-Roman"/>
        </w:rPr>
        <w:t xml:space="preserve">Art. 3º Para os efeitos desta lei entende-se por periculosidade as atividades de risco, que envolvem inflamáveis, explosivos, eletricidade, radiações e serviços de segurança pública ou privada, dentre outras. </w:t>
      </w:r>
    </w:p>
    <w:p w14:paraId="2DD43586" w14:textId="77777777" w:rsidR="00B9512A" w:rsidRPr="00B9512A" w:rsidRDefault="00B9512A" w:rsidP="00B9512A">
      <w:pPr>
        <w:spacing w:after="0"/>
        <w:jc w:val="both"/>
        <w:rPr>
          <w:rFonts w:ascii="Century Gothic" w:hAnsi="Century Gothic" w:cs="Times-Roman"/>
        </w:rPr>
      </w:pPr>
    </w:p>
    <w:p w14:paraId="41162F72" w14:textId="2C927B07" w:rsidR="00B9512A" w:rsidRDefault="00B9512A" w:rsidP="00B9512A">
      <w:pPr>
        <w:spacing w:after="0"/>
        <w:jc w:val="both"/>
        <w:rPr>
          <w:rFonts w:ascii="Century Gothic" w:hAnsi="Century Gothic" w:cs="Times-Roman"/>
        </w:rPr>
      </w:pPr>
      <w:r w:rsidRPr="00B9512A">
        <w:rPr>
          <w:rFonts w:ascii="Century Gothic" w:hAnsi="Century Gothic" w:cs="Times-Roman"/>
        </w:rPr>
        <w:t xml:space="preserve">Art. 4º </w:t>
      </w:r>
      <w:r w:rsidR="00156A61" w:rsidRPr="00156A61">
        <w:rPr>
          <w:rFonts w:ascii="Century Gothic" w:hAnsi="Century Gothic" w:cs="Times-Roman"/>
        </w:rPr>
        <w:t>Será concedido o adicional de periculosidade de caráter permanente ao servidor detentor de cargo efetivo de Guarda Civil Municipal, no percentual mínimo de 30% (</w:t>
      </w:r>
      <w:r w:rsidR="006A59C1">
        <w:rPr>
          <w:rFonts w:ascii="Century Gothic" w:hAnsi="Century Gothic" w:cs="Times-Roman"/>
        </w:rPr>
        <w:t>trinta</w:t>
      </w:r>
      <w:r w:rsidR="00156A61" w:rsidRPr="00156A61">
        <w:rPr>
          <w:rFonts w:ascii="Century Gothic" w:hAnsi="Century Gothic" w:cs="Times-Roman"/>
        </w:rPr>
        <w:t xml:space="preserve"> por cento) sobre o valor do vencimento base</w:t>
      </w:r>
      <w:r w:rsidR="00156A61">
        <w:rPr>
          <w:rFonts w:ascii="Century Gothic" w:hAnsi="Century Gothic" w:cs="Times-Roman"/>
        </w:rPr>
        <w:t>.</w:t>
      </w:r>
    </w:p>
    <w:p w14:paraId="61D21A45" w14:textId="77777777" w:rsidR="00156A61" w:rsidRDefault="00156A61" w:rsidP="00B9512A">
      <w:pPr>
        <w:spacing w:after="0"/>
        <w:jc w:val="both"/>
        <w:rPr>
          <w:rFonts w:ascii="Century Gothic" w:hAnsi="Century Gothic" w:cs="Times-Roman"/>
        </w:rPr>
      </w:pPr>
    </w:p>
    <w:p w14:paraId="7FF49456" w14:textId="1915D36C" w:rsidR="00156A61" w:rsidRPr="00B9512A" w:rsidRDefault="00156A61" w:rsidP="00B9512A">
      <w:pPr>
        <w:spacing w:after="0"/>
        <w:jc w:val="both"/>
        <w:rPr>
          <w:rFonts w:ascii="Century Gothic" w:hAnsi="Century Gothic" w:cs="Times-Roman"/>
        </w:rPr>
      </w:pPr>
      <w:r w:rsidRPr="00156A61">
        <w:rPr>
          <w:rFonts w:ascii="Century Gothic" w:hAnsi="Century Gothic" w:cs="Times-Roman"/>
        </w:rPr>
        <w:t>Parágrafo único</w:t>
      </w:r>
      <w:r w:rsidR="0045171A">
        <w:rPr>
          <w:rFonts w:ascii="Century Gothic" w:hAnsi="Century Gothic" w:cs="Times-Roman"/>
        </w:rPr>
        <w:t>:</w:t>
      </w:r>
      <w:r w:rsidRPr="00156A61">
        <w:rPr>
          <w:rFonts w:ascii="Century Gothic" w:hAnsi="Century Gothic" w:cs="Times-Roman"/>
        </w:rPr>
        <w:t xml:space="preserve"> </w:t>
      </w:r>
      <w:r w:rsidR="0045171A">
        <w:rPr>
          <w:rFonts w:ascii="Century Gothic" w:hAnsi="Century Gothic" w:cs="Times-Roman"/>
        </w:rPr>
        <w:t xml:space="preserve">O </w:t>
      </w:r>
      <w:r w:rsidRPr="00156A61">
        <w:rPr>
          <w:rFonts w:ascii="Century Gothic" w:hAnsi="Century Gothic" w:cs="Times-Roman"/>
        </w:rPr>
        <w:t>adicional de periculosidade</w:t>
      </w:r>
      <w:r w:rsidR="0045171A">
        <w:rPr>
          <w:rFonts w:ascii="Century Gothic" w:hAnsi="Century Gothic" w:cs="Times-Roman"/>
        </w:rPr>
        <w:t xml:space="preserve"> será incorporado </w:t>
      </w:r>
      <w:r w:rsidRPr="00156A61">
        <w:rPr>
          <w:rFonts w:ascii="Century Gothic" w:hAnsi="Century Gothic" w:cs="Times-Roman"/>
        </w:rPr>
        <w:t>para fins de aposentadoria</w:t>
      </w:r>
      <w:r w:rsidR="004512DB">
        <w:rPr>
          <w:rFonts w:ascii="Century Gothic" w:hAnsi="Century Gothic" w:cs="Times-Roman"/>
        </w:rPr>
        <w:t xml:space="preserve"> especial</w:t>
      </w:r>
      <w:r w:rsidRPr="00156A61">
        <w:rPr>
          <w:rFonts w:ascii="Century Gothic" w:hAnsi="Century Gothic" w:cs="Times-Roman"/>
        </w:rPr>
        <w:t xml:space="preserve">.  </w:t>
      </w:r>
    </w:p>
    <w:p w14:paraId="0B26F31F" w14:textId="77777777" w:rsidR="00B9512A" w:rsidRDefault="00B9512A" w:rsidP="00B9512A">
      <w:pPr>
        <w:spacing w:after="0"/>
        <w:jc w:val="both"/>
        <w:rPr>
          <w:rFonts w:ascii="Century Gothic" w:hAnsi="Century Gothic" w:cs="Times-Roman"/>
        </w:rPr>
      </w:pPr>
    </w:p>
    <w:p w14:paraId="7E5B03BF" w14:textId="5D1B306D" w:rsidR="00156A61" w:rsidRPr="00156A61" w:rsidRDefault="00156A61" w:rsidP="00156A61">
      <w:pPr>
        <w:spacing w:after="0"/>
        <w:jc w:val="both"/>
        <w:rPr>
          <w:rFonts w:ascii="Century Gothic" w:hAnsi="Century Gothic" w:cs="Times-Roman"/>
        </w:rPr>
      </w:pPr>
      <w:r w:rsidRPr="00156A61">
        <w:rPr>
          <w:rFonts w:ascii="Century Gothic" w:hAnsi="Century Gothic" w:cs="Times-Roman"/>
        </w:rPr>
        <w:t xml:space="preserve">Art. </w:t>
      </w:r>
      <w:r>
        <w:rPr>
          <w:rFonts w:ascii="Century Gothic" w:hAnsi="Century Gothic" w:cs="Times-Roman"/>
        </w:rPr>
        <w:t>5</w:t>
      </w:r>
      <w:r w:rsidRPr="00156A61">
        <w:rPr>
          <w:rFonts w:ascii="Century Gothic" w:hAnsi="Century Gothic" w:cs="Times-Roman"/>
        </w:rPr>
        <w:t>º Para efeitos desta Lei Complementar</w:t>
      </w:r>
      <w:r w:rsidR="0045171A">
        <w:rPr>
          <w:rFonts w:ascii="Century Gothic" w:hAnsi="Century Gothic" w:cs="Times-Roman"/>
        </w:rPr>
        <w:t xml:space="preserve"> consideram-se</w:t>
      </w:r>
      <w:r w:rsidRPr="00156A61">
        <w:rPr>
          <w:rFonts w:ascii="Century Gothic" w:hAnsi="Century Gothic" w:cs="Times-Roman"/>
        </w:rPr>
        <w:t xml:space="preserve"> como efetivo exercício os afastamentos em virtude de: </w:t>
      </w:r>
    </w:p>
    <w:p w14:paraId="04ABA895" w14:textId="5DCDBFC9" w:rsidR="00156A61" w:rsidRPr="00156A61" w:rsidRDefault="00156A61" w:rsidP="009544E6">
      <w:pPr>
        <w:spacing w:after="0" w:line="240" w:lineRule="auto"/>
        <w:jc w:val="both"/>
        <w:rPr>
          <w:rFonts w:ascii="Century Gothic" w:hAnsi="Century Gothic" w:cs="Times-Roman"/>
        </w:rPr>
      </w:pPr>
      <w:r w:rsidRPr="00156A61">
        <w:rPr>
          <w:rFonts w:ascii="Century Gothic" w:hAnsi="Century Gothic" w:cs="Times-Roman"/>
        </w:rPr>
        <w:t>I</w:t>
      </w:r>
      <w:r w:rsidR="009544E6">
        <w:rPr>
          <w:rFonts w:ascii="Century Gothic" w:hAnsi="Century Gothic" w:cs="Times-Roman"/>
        </w:rPr>
        <w:t xml:space="preserve"> </w:t>
      </w:r>
      <w:r w:rsidRPr="00156A61">
        <w:rPr>
          <w:rFonts w:ascii="Century Gothic" w:hAnsi="Century Gothic" w:cs="Times-Roman"/>
        </w:rPr>
        <w:t xml:space="preserve">– férias regulamentares e férias prêmio; </w:t>
      </w:r>
    </w:p>
    <w:p w14:paraId="66AE0AE0" w14:textId="6BC84ED2" w:rsidR="00156A61" w:rsidRPr="00156A61" w:rsidRDefault="00156A61" w:rsidP="009544E6">
      <w:pPr>
        <w:spacing w:after="0" w:line="240" w:lineRule="auto"/>
        <w:jc w:val="both"/>
        <w:rPr>
          <w:rFonts w:ascii="Century Gothic" w:hAnsi="Century Gothic" w:cs="Times-Roman"/>
        </w:rPr>
      </w:pPr>
      <w:r w:rsidRPr="00156A61">
        <w:rPr>
          <w:rFonts w:ascii="Century Gothic" w:hAnsi="Century Gothic" w:cs="Times-Roman"/>
        </w:rPr>
        <w:t>II</w:t>
      </w:r>
      <w:r w:rsidRPr="00156A61">
        <w:rPr>
          <w:rFonts w:ascii="Century Gothic" w:hAnsi="Century Gothic" w:cs="Times-Roman"/>
        </w:rPr>
        <w:tab/>
        <w:t xml:space="preserve">- casamento, 08 (oito) dias consecutivos, contados da realização do ato; </w:t>
      </w:r>
    </w:p>
    <w:p w14:paraId="75DDCEF8" w14:textId="77777777" w:rsidR="00156A61" w:rsidRPr="00156A61" w:rsidRDefault="00156A61" w:rsidP="009544E6">
      <w:pPr>
        <w:spacing w:after="0" w:line="240" w:lineRule="auto"/>
        <w:jc w:val="both"/>
        <w:rPr>
          <w:rFonts w:ascii="Century Gothic" w:hAnsi="Century Gothic" w:cs="Times-Roman"/>
        </w:rPr>
      </w:pPr>
      <w:r w:rsidRPr="00156A61">
        <w:rPr>
          <w:rFonts w:ascii="Century Gothic" w:hAnsi="Century Gothic" w:cs="Times-Roman"/>
        </w:rPr>
        <w:t>III</w:t>
      </w:r>
      <w:r w:rsidRPr="00156A61">
        <w:rPr>
          <w:rFonts w:ascii="Century Gothic" w:hAnsi="Century Gothic" w:cs="Times-Roman"/>
        </w:rPr>
        <w:tab/>
        <w:t xml:space="preserve">- luto pelo falecimento de pai, mãe, padrasto, madrasta, cônjuge, companheiro (a), filho (a), irmão (ã), neto (a), de 07 (sete) dias consecutivos a contar do falecimento; </w:t>
      </w:r>
    </w:p>
    <w:p w14:paraId="6D3D302E" w14:textId="77777777" w:rsidR="00156A61" w:rsidRPr="00156A61" w:rsidRDefault="00156A61" w:rsidP="009544E6">
      <w:pPr>
        <w:spacing w:after="0" w:line="240" w:lineRule="auto"/>
        <w:jc w:val="both"/>
        <w:rPr>
          <w:rFonts w:ascii="Century Gothic" w:hAnsi="Century Gothic" w:cs="Times-Roman"/>
        </w:rPr>
      </w:pPr>
      <w:r w:rsidRPr="00156A61">
        <w:rPr>
          <w:rFonts w:ascii="Century Gothic" w:hAnsi="Century Gothic" w:cs="Times-Roman"/>
        </w:rPr>
        <w:t>IV</w:t>
      </w:r>
      <w:r w:rsidRPr="00156A61">
        <w:rPr>
          <w:rFonts w:ascii="Century Gothic" w:hAnsi="Century Gothic" w:cs="Times-Roman"/>
        </w:rPr>
        <w:tab/>
        <w:t xml:space="preserve">- luto de 02 (dois) dias a contar da data do falecimento: tio, tia, sobrinho, sobrinha, cunhado, cunhada, genro, nora, sogro e sogra; </w:t>
      </w:r>
    </w:p>
    <w:p w14:paraId="26018F3D" w14:textId="77777777" w:rsidR="00156A61" w:rsidRPr="00156A61" w:rsidRDefault="00156A61" w:rsidP="009544E6">
      <w:pPr>
        <w:spacing w:after="0" w:line="240" w:lineRule="auto"/>
        <w:jc w:val="both"/>
        <w:rPr>
          <w:rFonts w:ascii="Century Gothic" w:hAnsi="Century Gothic" w:cs="Times-Roman"/>
        </w:rPr>
      </w:pPr>
      <w:r w:rsidRPr="00156A61">
        <w:rPr>
          <w:rFonts w:ascii="Century Gothic" w:hAnsi="Century Gothic" w:cs="Times-Roman"/>
        </w:rPr>
        <w:t>V</w:t>
      </w:r>
      <w:r w:rsidRPr="00156A61">
        <w:rPr>
          <w:rFonts w:ascii="Century Gothic" w:hAnsi="Century Gothic" w:cs="Times-Roman"/>
        </w:rPr>
        <w:tab/>
        <w:t xml:space="preserve">- luto de 03 (três) dias a contar da data do falecimento do avô e/ou avó; </w:t>
      </w:r>
    </w:p>
    <w:p w14:paraId="60B62AC5" w14:textId="77777777" w:rsidR="00156A61" w:rsidRPr="00156A61" w:rsidRDefault="00156A61" w:rsidP="009544E6">
      <w:pPr>
        <w:spacing w:after="0" w:line="240" w:lineRule="auto"/>
        <w:jc w:val="both"/>
        <w:rPr>
          <w:rFonts w:ascii="Century Gothic" w:hAnsi="Century Gothic" w:cs="Times-Roman"/>
        </w:rPr>
      </w:pPr>
      <w:r w:rsidRPr="00156A61">
        <w:rPr>
          <w:rFonts w:ascii="Century Gothic" w:hAnsi="Century Gothic" w:cs="Times-Roman"/>
        </w:rPr>
        <w:t>VI</w:t>
      </w:r>
      <w:r w:rsidRPr="00156A61">
        <w:rPr>
          <w:rFonts w:ascii="Century Gothic" w:hAnsi="Century Gothic" w:cs="Times-Roman"/>
        </w:rPr>
        <w:tab/>
        <w:t xml:space="preserve">- luto de 01 (um) dia a contar da data do falecimento de parente de 3º e 4º graus, não previsto no inciso IV; </w:t>
      </w:r>
    </w:p>
    <w:p w14:paraId="09331B76" w14:textId="77777777" w:rsidR="00156A61" w:rsidRPr="00156A61" w:rsidRDefault="00156A61" w:rsidP="009544E6">
      <w:pPr>
        <w:spacing w:after="0" w:line="240" w:lineRule="auto"/>
        <w:jc w:val="both"/>
        <w:rPr>
          <w:rFonts w:ascii="Century Gothic" w:hAnsi="Century Gothic" w:cs="Times-Roman"/>
        </w:rPr>
      </w:pPr>
      <w:r w:rsidRPr="00156A61">
        <w:rPr>
          <w:rFonts w:ascii="Century Gothic" w:hAnsi="Century Gothic" w:cs="Times-Roman"/>
        </w:rPr>
        <w:t>VII</w:t>
      </w:r>
      <w:r w:rsidRPr="00156A61">
        <w:rPr>
          <w:rFonts w:ascii="Century Gothic" w:hAnsi="Century Gothic" w:cs="Times-Roman"/>
        </w:rPr>
        <w:tab/>
        <w:t xml:space="preserve">- convocação para cumprimento de obrigações decorrentes do serviço militar e eleitoral; </w:t>
      </w:r>
    </w:p>
    <w:p w14:paraId="105FF2E9" w14:textId="77777777" w:rsidR="00156A61" w:rsidRPr="00156A61" w:rsidRDefault="00156A61" w:rsidP="009544E6">
      <w:pPr>
        <w:spacing w:after="0" w:line="240" w:lineRule="auto"/>
        <w:jc w:val="both"/>
        <w:rPr>
          <w:rFonts w:ascii="Century Gothic" w:hAnsi="Century Gothic" w:cs="Times-Roman"/>
        </w:rPr>
      </w:pPr>
      <w:r w:rsidRPr="00156A61">
        <w:rPr>
          <w:rFonts w:ascii="Century Gothic" w:hAnsi="Century Gothic" w:cs="Times-Roman"/>
        </w:rPr>
        <w:t>VIII</w:t>
      </w:r>
      <w:r w:rsidRPr="00156A61">
        <w:rPr>
          <w:rFonts w:ascii="Century Gothic" w:hAnsi="Century Gothic" w:cs="Times-Roman"/>
        </w:rPr>
        <w:tab/>
        <w:t xml:space="preserve">- júri e outros serviços obrigatórios por lei; </w:t>
      </w:r>
    </w:p>
    <w:p w14:paraId="4EE19BA1" w14:textId="77777777" w:rsidR="00156A61" w:rsidRPr="00156A61" w:rsidRDefault="00156A61" w:rsidP="009544E6">
      <w:pPr>
        <w:spacing w:after="0" w:line="240" w:lineRule="auto"/>
        <w:jc w:val="both"/>
        <w:rPr>
          <w:rFonts w:ascii="Century Gothic" w:hAnsi="Century Gothic" w:cs="Times-Roman"/>
        </w:rPr>
      </w:pPr>
      <w:r w:rsidRPr="00156A61">
        <w:rPr>
          <w:rFonts w:ascii="Century Gothic" w:hAnsi="Century Gothic" w:cs="Times-Roman"/>
        </w:rPr>
        <w:lastRenderedPageBreak/>
        <w:t>IX</w:t>
      </w:r>
      <w:r w:rsidRPr="00156A61">
        <w:rPr>
          <w:rFonts w:ascii="Century Gothic" w:hAnsi="Century Gothic" w:cs="Times-Roman"/>
        </w:rPr>
        <w:tab/>
        <w:t xml:space="preserve">- desempenho de mandato eletivo; </w:t>
      </w:r>
    </w:p>
    <w:p w14:paraId="1644A390" w14:textId="77777777" w:rsidR="00156A61" w:rsidRPr="00156A61" w:rsidRDefault="00156A61" w:rsidP="009544E6">
      <w:pPr>
        <w:spacing w:after="0" w:line="240" w:lineRule="auto"/>
        <w:jc w:val="both"/>
        <w:rPr>
          <w:rFonts w:ascii="Century Gothic" w:hAnsi="Century Gothic" w:cs="Times-Roman"/>
        </w:rPr>
      </w:pPr>
      <w:r w:rsidRPr="00156A61">
        <w:rPr>
          <w:rFonts w:ascii="Century Gothic" w:hAnsi="Century Gothic" w:cs="Times-Roman"/>
        </w:rPr>
        <w:t>X</w:t>
      </w:r>
      <w:r w:rsidRPr="00156A61">
        <w:rPr>
          <w:rFonts w:ascii="Century Gothic" w:hAnsi="Century Gothic" w:cs="Times-Roman"/>
        </w:rPr>
        <w:tab/>
        <w:t xml:space="preserve">- licença à servidora gestante; </w:t>
      </w:r>
    </w:p>
    <w:p w14:paraId="55AE1729" w14:textId="77777777" w:rsidR="00156A61" w:rsidRPr="00156A61" w:rsidRDefault="00156A61" w:rsidP="009544E6">
      <w:pPr>
        <w:spacing w:after="0" w:line="240" w:lineRule="auto"/>
        <w:jc w:val="both"/>
        <w:rPr>
          <w:rFonts w:ascii="Century Gothic" w:hAnsi="Century Gothic" w:cs="Times-Roman"/>
        </w:rPr>
      </w:pPr>
      <w:r w:rsidRPr="00156A61">
        <w:rPr>
          <w:rFonts w:ascii="Century Gothic" w:hAnsi="Century Gothic" w:cs="Times-Roman"/>
        </w:rPr>
        <w:t>XI</w:t>
      </w:r>
      <w:r w:rsidRPr="00156A61">
        <w:rPr>
          <w:rFonts w:ascii="Century Gothic" w:hAnsi="Century Gothic" w:cs="Times-Roman"/>
        </w:rPr>
        <w:tab/>
        <w:t xml:space="preserve">- licença ao servidor acidentado em serviço ou acometido de doença profissional ou moléstia grave; </w:t>
      </w:r>
    </w:p>
    <w:p w14:paraId="3B6250F5" w14:textId="77777777" w:rsidR="00156A61" w:rsidRPr="00156A61" w:rsidRDefault="00156A61" w:rsidP="009544E6">
      <w:pPr>
        <w:spacing w:after="0" w:line="240" w:lineRule="auto"/>
        <w:jc w:val="both"/>
        <w:rPr>
          <w:rFonts w:ascii="Century Gothic" w:hAnsi="Century Gothic" w:cs="Times-Roman"/>
        </w:rPr>
      </w:pPr>
      <w:r w:rsidRPr="00156A61">
        <w:rPr>
          <w:rFonts w:ascii="Century Gothic" w:hAnsi="Century Gothic" w:cs="Times-Roman"/>
        </w:rPr>
        <w:t>XII</w:t>
      </w:r>
      <w:r w:rsidRPr="00156A61">
        <w:rPr>
          <w:rFonts w:ascii="Century Gothic" w:hAnsi="Century Gothic" w:cs="Times-Roman"/>
        </w:rPr>
        <w:tab/>
        <w:t xml:space="preserve">- missão ou estudo, em outros pontos do território nacional ou no exterior, quando o afastamento houver sido autorizado pelo Chefe do Poder Executivo Municipal, pelo Secretário ou subsecretário da pasta e/ou Pelo Comandante da Guarda Civil Municipal; </w:t>
      </w:r>
    </w:p>
    <w:p w14:paraId="3B4B419A" w14:textId="77777777" w:rsidR="00156A61" w:rsidRPr="00156A61" w:rsidRDefault="00156A61" w:rsidP="009544E6">
      <w:pPr>
        <w:spacing w:after="0" w:line="240" w:lineRule="auto"/>
        <w:jc w:val="both"/>
        <w:rPr>
          <w:rFonts w:ascii="Century Gothic" w:hAnsi="Century Gothic" w:cs="Times-Roman"/>
        </w:rPr>
      </w:pPr>
      <w:r w:rsidRPr="00156A61">
        <w:rPr>
          <w:rFonts w:ascii="Century Gothic" w:hAnsi="Century Gothic" w:cs="Times-Roman"/>
        </w:rPr>
        <w:t>XIII</w:t>
      </w:r>
      <w:r w:rsidRPr="00156A61">
        <w:rPr>
          <w:rFonts w:ascii="Century Gothic" w:hAnsi="Century Gothic" w:cs="Times-Roman"/>
        </w:rPr>
        <w:tab/>
        <w:t xml:space="preserve">- licença para tratamento de saúde própria ou por motivo de doença em pessoa de sua família; </w:t>
      </w:r>
    </w:p>
    <w:p w14:paraId="658AD472" w14:textId="77777777" w:rsidR="00156A61" w:rsidRPr="00156A61" w:rsidRDefault="00156A61" w:rsidP="009544E6">
      <w:pPr>
        <w:spacing w:after="0" w:line="240" w:lineRule="auto"/>
        <w:jc w:val="both"/>
        <w:rPr>
          <w:rFonts w:ascii="Century Gothic" w:hAnsi="Century Gothic" w:cs="Times-Roman"/>
        </w:rPr>
      </w:pPr>
      <w:r w:rsidRPr="00156A61">
        <w:rPr>
          <w:rFonts w:ascii="Century Gothic" w:hAnsi="Century Gothic" w:cs="Times-Roman"/>
        </w:rPr>
        <w:t>XIV</w:t>
      </w:r>
      <w:r w:rsidRPr="00156A61">
        <w:rPr>
          <w:rFonts w:ascii="Century Gothic" w:hAnsi="Century Gothic" w:cs="Times-Roman"/>
        </w:rPr>
        <w:tab/>
        <w:t xml:space="preserve">- licença paternidade; </w:t>
      </w:r>
    </w:p>
    <w:p w14:paraId="4B1A349B" w14:textId="77777777" w:rsidR="00156A61" w:rsidRPr="00156A61" w:rsidRDefault="00156A61" w:rsidP="009544E6">
      <w:pPr>
        <w:spacing w:after="0" w:line="240" w:lineRule="auto"/>
        <w:jc w:val="both"/>
        <w:rPr>
          <w:rFonts w:ascii="Century Gothic" w:hAnsi="Century Gothic" w:cs="Times-Roman"/>
        </w:rPr>
      </w:pPr>
      <w:r w:rsidRPr="00156A61">
        <w:rPr>
          <w:rFonts w:ascii="Century Gothic" w:hAnsi="Century Gothic" w:cs="Times-Roman"/>
        </w:rPr>
        <w:t>XV</w:t>
      </w:r>
      <w:r w:rsidRPr="00156A61">
        <w:rPr>
          <w:rFonts w:ascii="Century Gothic" w:hAnsi="Century Gothic" w:cs="Times-Roman"/>
        </w:rPr>
        <w:tab/>
        <w:t xml:space="preserve">- exercício de mandato de direção de entidade de classe, </w:t>
      </w:r>
      <w:proofErr w:type="gramStart"/>
      <w:r w:rsidRPr="00156A61">
        <w:rPr>
          <w:rFonts w:ascii="Century Gothic" w:hAnsi="Century Gothic" w:cs="Times-Roman"/>
        </w:rPr>
        <w:t>legalmente constituída, que represente os interesses dos servidores públicos municipais</w:t>
      </w:r>
      <w:proofErr w:type="gramEnd"/>
      <w:r w:rsidRPr="00156A61">
        <w:rPr>
          <w:rFonts w:ascii="Century Gothic" w:hAnsi="Century Gothic" w:cs="Times-Roman"/>
        </w:rPr>
        <w:t xml:space="preserve">; </w:t>
      </w:r>
    </w:p>
    <w:p w14:paraId="6BC3D681" w14:textId="77777777" w:rsidR="00156A61" w:rsidRPr="00156A61" w:rsidRDefault="00156A61" w:rsidP="009544E6">
      <w:pPr>
        <w:spacing w:after="0" w:line="240" w:lineRule="auto"/>
        <w:jc w:val="both"/>
        <w:rPr>
          <w:rFonts w:ascii="Century Gothic" w:hAnsi="Century Gothic" w:cs="Times-Roman"/>
        </w:rPr>
      </w:pPr>
      <w:r w:rsidRPr="00156A61">
        <w:rPr>
          <w:rFonts w:ascii="Century Gothic" w:hAnsi="Century Gothic" w:cs="Times-Roman"/>
        </w:rPr>
        <w:t>XVI</w:t>
      </w:r>
      <w:r w:rsidRPr="00156A61">
        <w:rPr>
          <w:rFonts w:ascii="Century Gothic" w:hAnsi="Century Gothic" w:cs="Times-Roman"/>
        </w:rPr>
        <w:tab/>
        <w:t xml:space="preserve">- ausências do servidor estudante para a realização comprovada de provas e exames, conforme regulamentação; </w:t>
      </w:r>
    </w:p>
    <w:p w14:paraId="1AF449F7" w14:textId="77777777" w:rsidR="00156A61" w:rsidRPr="00156A61" w:rsidRDefault="00156A61" w:rsidP="009544E6">
      <w:pPr>
        <w:spacing w:after="0" w:line="240" w:lineRule="auto"/>
        <w:jc w:val="both"/>
        <w:rPr>
          <w:rFonts w:ascii="Century Gothic" w:hAnsi="Century Gothic" w:cs="Times-Roman"/>
        </w:rPr>
      </w:pPr>
      <w:r w:rsidRPr="00156A61">
        <w:rPr>
          <w:rFonts w:ascii="Century Gothic" w:hAnsi="Century Gothic" w:cs="Times-Roman"/>
        </w:rPr>
        <w:t>XVII</w:t>
      </w:r>
      <w:r w:rsidRPr="00156A61">
        <w:rPr>
          <w:rFonts w:ascii="Century Gothic" w:hAnsi="Century Gothic" w:cs="Times-Roman"/>
        </w:rPr>
        <w:tab/>
        <w:t xml:space="preserve">- exercício em outro cargo municipal de provimento de confiança; </w:t>
      </w:r>
    </w:p>
    <w:p w14:paraId="5CB4F8BD" w14:textId="77777777" w:rsidR="00156A61" w:rsidRPr="00156A61" w:rsidRDefault="00156A61" w:rsidP="009544E6">
      <w:pPr>
        <w:spacing w:after="0" w:line="240" w:lineRule="auto"/>
        <w:jc w:val="both"/>
        <w:rPr>
          <w:rFonts w:ascii="Century Gothic" w:hAnsi="Century Gothic" w:cs="Times-Roman"/>
        </w:rPr>
      </w:pPr>
      <w:r w:rsidRPr="00156A61">
        <w:rPr>
          <w:rFonts w:ascii="Century Gothic" w:hAnsi="Century Gothic" w:cs="Times-Roman"/>
        </w:rPr>
        <w:t>XVIII</w:t>
      </w:r>
      <w:r w:rsidRPr="00156A61">
        <w:rPr>
          <w:rFonts w:ascii="Century Gothic" w:hAnsi="Century Gothic" w:cs="Times-Roman"/>
        </w:rPr>
        <w:tab/>
        <w:t xml:space="preserve">- no caso de doação voluntária de sangue, devidamente comprovada, em um dia. </w:t>
      </w:r>
    </w:p>
    <w:p w14:paraId="02AC1599" w14:textId="77777777" w:rsidR="00156A61" w:rsidRPr="00156A61" w:rsidRDefault="00156A61" w:rsidP="009544E6">
      <w:pPr>
        <w:spacing w:after="0" w:line="240" w:lineRule="auto"/>
        <w:jc w:val="both"/>
        <w:rPr>
          <w:rFonts w:ascii="Century Gothic" w:hAnsi="Century Gothic" w:cs="Times-Roman"/>
        </w:rPr>
      </w:pPr>
      <w:r w:rsidRPr="00156A61">
        <w:rPr>
          <w:rFonts w:ascii="Century Gothic" w:hAnsi="Century Gothic" w:cs="Times-Roman"/>
        </w:rPr>
        <w:t>XIX</w:t>
      </w:r>
      <w:r w:rsidRPr="00156A61">
        <w:rPr>
          <w:rFonts w:ascii="Century Gothic" w:hAnsi="Century Gothic" w:cs="Times-Roman"/>
        </w:rPr>
        <w:tab/>
        <w:t xml:space="preserve">- licença adoção; </w:t>
      </w:r>
    </w:p>
    <w:p w14:paraId="117E1FE0" w14:textId="77777777" w:rsidR="00156A61" w:rsidRPr="00156A61" w:rsidRDefault="00156A61" w:rsidP="009544E6">
      <w:pPr>
        <w:spacing w:after="0" w:line="240" w:lineRule="auto"/>
        <w:jc w:val="both"/>
        <w:rPr>
          <w:rFonts w:ascii="Century Gothic" w:hAnsi="Century Gothic" w:cs="Times-Roman"/>
        </w:rPr>
      </w:pPr>
      <w:r w:rsidRPr="00156A61">
        <w:rPr>
          <w:rFonts w:ascii="Century Gothic" w:hAnsi="Century Gothic" w:cs="Times-Roman"/>
        </w:rPr>
        <w:t>XX</w:t>
      </w:r>
      <w:r w:rsidRPr="00156A61">
        <w:rPr>
          <w:rFonts w:ascii="Century Gothic" w:hAnsi="Century Gothic" w:cs="Times-Roman"/>
        </w:rPr>
        <w:tab/>
        <w:t xml:space="preserve">- licença para participação em cursos de Capacitação Profissional; </w:t>
      </w:r>
    </w:p>
    <w:p w14:paraId="5461F7D4" w14:textId="77777777" w:rsidR="00156A61" w:rsidRPr="00156A61" w:rsidRDefault="00156A61" w:rsidP="009544E6">
      <w:pPr>
        <w:spacing w:after="0" w:line="240" w:lineRule="auto"/>
        <w:jc w:val="both"/>
        <w:rPr>
          <w:rFonts w:ascii="Century Gothic" w:hAnsi="Century Gothic" w:cs="Times-Roman"/>
        </w:rPr>
      </w:pPr>
      <w:r w:rsidRPr="00156A61">
        <w:rPr>
          <w:rFonts w:ascii="Century Gothic" w:hAnsi="Century Gothic" w:cs="Times-Roman"/>
        </w:rPr>
        <w:t>XXI</w:t>
      </w:r>
      <w:r w:rsidRPr="00156A61">
        <w:rPr>
          <w:rFonts w:ascii="Century Gothic" w:hAnsi="Century Gothic" w:cs="Times-Roman"/>
        </w:rPr>
        <w:tab/>
        <w:t xml:space="preserve">- licença de Aniversário; </w:t>
      </w:r>
    </w:p>
    <w:p w14:paraId="1B821910" w14:textId="7AF40BFF" w:rsidR="00156A61" w:rsidRPr="00B9512A" w:rsidRDefault="00156A61" w:rsidP="009544E6">
      <w:pPr>
        <w:spacing w:after="0" w:line="240" w:lineRule="auto"/>
        <w:jc w:val="both"/>
        <w:rPr>
          <w:rFonts w:ascii="Century Gothic" w:hAnsi="Century Gothic" w:cs="Times-Roman"/>
        </w:rPr>
      </w:pPr>
      <w:r w:rsidRPr="00156A61">
        <w:rPr>
          <w:rFonts w:ascii="Century Gothic" w:hAnsi="Century Gothic" w:cs="Times-Roman"/>
        </w:rPr>
        <w:t>XXII</w:t>
      </w:r>
      <w:r w:rsidRPr="00156A61">
        <w:rPr>
          <w:rFonts w:ascii="Century Gothic" w:hAnsi="Century Gothic" w:cs="Times-Roman"/>
        </w:rPr>
        <w:tab/>
        <w:t>- licença para participação em Concurso Público.</w:t>
      </w:r>
    </w:p>
    <w:p w14:paraId="7490FD1F" w14:textId="77777777" w:rsidR="009544E6" w:rsidRDefault="009544E6" w:rsidP="00B9512A">
      <w:pPr>
        <w:spacing w:after="0"/>
        <w:jc w:val="both"/>
        <w:rPr>
          <w:rFonts w:ascii="Century Gothic" w:hAnsi="Century Gothic" w:cs="Times-Roman"/>
        </w:rPr>
      </w:pPr>
    </w:p>
    <w:p w14:paraId="540EC0FE" w14:textId="3A5A19EE" w:rsidR="00B9512A" w:rsidRDefault="00B9512A" w:rsidP="00B9512A">
      <w:pPr>
        <w:spacing w:after="0"/>
        <w:jc w:val="both"/>
        <w:rPr>
          <w:rFonts w:ascii="Century Gothic" w:hAnsi="Century Gothic" w:cs="Times-Roman"/>
        </w:rPr>
      </w:pPr>
      <w:r w:rsidRPr="00B9512A">
        <w:rPr>
          <w:rFonts w:ascii="Century Gothic" w:hAnsi="Century Gothic" w:cs="Times-Roman"/>
        </w:rPr>
        <w:t xml:space="preserve">Art. </w:t>
      </w:r>
      <w:r w:rsidR="00156A61">
        <w:rPr>
          <w:rFonts w:ascii="Century Gothic" w:hAnsi="Century Gothic" w:cs="Times-Roman"/>
        </w:rPr>
        <w:t>6</w:t>
      </w:r>
      <w:r w:rsidRPr="00B9512A">
        <w:rPr>
          <w:rFonts w:ascii="Century Gothic" w:hAnsi="Century Gothic" w:cs="Times-Roman"/>
        </w:rPr>
        <w:t>º O Poder Executivo Municipal regulamentará a presente</w:t>
      </w:r>
      <w:r w:rsidR="00CC4C17">
        <w:rPr>
          <w:rFonts w:ascii="Century Gothic" w:hAnsi="Century Gothic" w:cs="Times-Roman"/>
        </w:rPr>
        <w:t xml:space="preserve"> lei através de Decreto Municipal, nos termos do parágrafo único do art. 8º da Lei Complementar 66 de 28 de Dezembro de 2001.</w:t>
      </w:r>
    </w:p>
    <w:p w14:paraId="24EE6DB6" w14:textId="77777777" w:rsidR="00CC4C17" w:rsidRPr="00B9512A" w:rsidRDefault="00CC4C17" w:rsidP="00B9512A">
      <w:pPr>
        <w:spacing w:after="0"/>
        <w:jc w:val="both"/>
        <w:rPr>
          <w:rFonts w:ascii="Century Gothic" w:hAnsi="Century Gothic" w:cs="Times-Roman"/>
        </w:rPr>
      </w:pPr>
    </w:p>
    <w:p w14:paraId="550EC5FC" w14:textId="2AF0573E" w:rsidR="00B9512A" w:rsidRPr="00B9512A" w:rsidRDefault="00B9512A" w:rsidP="00B9512A">
      <w:pPr>
        <w:spacing w:after="0"/>
        <w:jc w:val="both"/>
        <w:rPr>
          <w:rFonts w:ascii="Century Gothic" w:hAnsi="Century Gothic" w:cs="Times-Roman"/>
        </w:rPr>
      </w:pPr>
      <w:r w:rsidRPr="00B9512A">
        <w:rPr>
          <w:rFonts w:ascii="Century Gothic" w:hAnsi="Century Gothic" w:cs="Times-Roman"/>
        </w:rPr>
        <w:t xml:space="preserve">Art. </w:t>
      </w:r>
      <w:r w:rsidR="00156A61">
        <w:rPr>
          <w:rFonts w:ascii="Century Gothic" w:hAnsi="Century Gothic" w:cs="Times-Roman"/>
        </w:rPr>
        <w:t>7</w:t>
      </w:r>
      <w:r w:rsidRPr="00B9512A">
        <w:rPr>
          <w:rFonts w:ascii="Century Gothic" w:hAnsi="Century Gothic" w:cs="Times-Roman"/>
        </w:rPr>
        <w:t>º As despesas decorrentes com a implantação desta Lei correrão por conta de dotações orçamentárias próprias, suplementadas se necessário.</w:t>
      </w:r>
    </w:p>
    <w:p w14:paraId="32CE3C19" w14:textId="77777777" w:rsidR="00B9512A" w:rsidRPr="00B9512A" w:rsidRDefault="00B9512A" w:rsidP="00B9512A">
      <w:pPr>
        <w:spacing w:after="0"/>
        <w:jc w:val="both"/>
        <w:rPr>
          <w:rFonts w:ascii="Century Gothic" w:hAnsi="Century Gothic" w:cs="Times-Roman"/>
        </w:rPr>
      </w:pPr>
    </w:p>
    <w:p w14:paraId="5128C198" w14:textId="1C0589BF" w:rsidR="00B9512A" w:rsidRPr="00B9512A" w:rsidRDefault="00156A61" w:rsidP="00B9512A">
      <w:pPr>
        <w:spacing w:after="0"/>
        <w:jc w:val="both"/>
        <w:rPr>
          <w:rFonts w:ascii="Century Gothic" w:hAnsi="Century Gothic" w:cs="Times-Roman"/>
          <w:b/>
        </w:rPr>
      </w:pPr>
      <w:r>
        <w:rPr>
          <w:rFonts w:ascii="Century Gothic" w:hAnsi="Century Gothic" w:cs="Times-Roman"/>
        </w:rPr>
        <w:t>Art. 8</w:t>
      </w:r>
      <w:r w:rsidR="00B9512A" w:rsidRPr="00B9512A">
        <w:rPr>
          <w:rFonts w:ascii="Century Gothic" w:hAnsi="Century Gothic" w:cs="Times-Roman"/>
        </w:rPr>
        <w:t xml:space="preserve">º Esta lei entrará em vigor na data de sua publicação. </w:t>
      </w:r>
      <w:r w:rsidR="00B9512A">
        <w:rPr>
          <w:rFonts w:ascii="Century Gothic" w:hAnsi="Century Gothic" w:cs="Times-Roman"/>
        </w:rPr>
        <w:t xml:space="preserve"> </w:t>
      </w:r>
    </w:p>
    <w:p w14:paraId="2397D0A4" w14:textId="77777777" w:rsidR="00B9512A" w:rsidRPr="00B9512A" w:rsidRDefault="00B9512A" w:rsidP="00B9512A">
      <w:pPr>
        <w:spacing w:after="0"/>
        <w:jc w:val="center"/>
        <w:rPr>
          <w:rFonts w:ascii="Century Gothic" w:hAnsi="Century Gothic" w:cs="Times-Roman"/>
          <w:b/>
        </w:rPr>
      </w:pPr>
    </w:p>
    <w:p w14:paraId="13E9D68C" w14:textId="77777777" w:rsidR="00B9512A" w:rsidRPr="00D1352A" w:rsidRDefault="00B9512A" w:rsidP="00B9512A">
      <w:pPr>
        <w:spacing w:after="0"/>
        <w:jc w:val="center"/>
        <w:rPr>
          <w:rFonts w:ascii="Century Gothic" w:hAnsi="Century Gothic" w:cs="Arial"/>
        </w:rPr>
      </w:pPr>
      <w:r w:rsidRPr="00D1352A">
        <w:rPr>
          <w:rFonts w:ascii="Century Gothic" w:hAnsi="Century Gothic" w:cs="Arial"/>
        </w:rPr>
        <w:t xml:space="preserve">Sala de Sessões, </w:t>
      </w:r>
      <w:r>
        <w:rPr>
          <w:rFonts w:ascii="Century Gothic" w:hAnsi="Century Gothic" w:cs="Arial"/>
        </w:rPr>
        <w:t>12 de Maio de 2021.</w:t>
      </w:r>
    </w:p>
    <w:p w14:paraId="0CD86DFD" w14:textId="77777777" w:rsidR="00B9512A" w:rsidRPr="00D1352A" w:rsidRDefault="00B9512A" w:rsidP="00B9512A">
      <w:pPr>
        <w:spacing w:after="0"/>
        <w:jc w:val="center"/>
        <w:rPr>
          <w:rFonts w:ascii="Century Gothic" w:hAnsi="Century Gothic" w:cs="Arial"/>
        </w:rPr>
      </w:pPr>
    </w:p>
    <w:p w14:paraId="66002E11" w14:textId="77777777" w:rsidR="00B9512A" w:rsidRPr="003B4F49" w:rsidRDefault="00B9512A" w:rsidP="00B9512A">
      <w:pPr>
        <w:spacing w:after="0"/>
        <w:jc w:val="center"/>
        <w:rPr>
          <w:rFonts w:ascii="Century Gothic" w:hAnsi="Century Gothic"/>
        </w:rPr>
      </w:pPr>
      <w:r w:rsidRPr="00D1352A">
        <w:rPr>
          <w:rFonts w:ascii="Century Gothic" w:hAnsi="Century Gothic" w:cs="Arial"/>
        </w:rPr>
        <w:t>.</w:t>
      </w:r>
      <w:r w:rsidRPr="003B4F49">
        <w:rPr>
          <w:rFonts w:ascii="Century Gothic" w:hAnsi="Century Gothic"/>
          <w:noProof/>
          <w:lang w:eastAsia="pt-BR"/>
        </w:rPr>
        <w:drawing>
          <wp:inline distT="0" distB="0" distL="0" distR="0" wp14:anchorId="62852890" wp14:editId="2972000B">
            <wp:extent cx="3333256" cy="74231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4455" cy="742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433FE" w14:textId="77777777" w:rsidR="00B9512A" w:rsidRPr="003B4F49" w:rsidRDefault="00B9512A" w:rsidP="00B9512A">
      <w:pPr>
        <w:spacing w:after="0"/>
        <w:jc w:val="center"/>
        <w:rPr>
          <w:rFonts w:ascii="Century Gothic" w:hAnsi="Century Gothic"/>
        </w:rPr>
      </w:pPr>
      <w:r w:rsidRPr="003B4F49">
        <w:rPr>
          <w:rFonts w:ascii="Century Gothic" w:hAnsi="Century Gothic"/>
        </w:rPr>
        <w:t>IVSON GOMES DE CASTRO</w:t>
      </w:r>
    </w:p>
    <w:p w14:paraId="467B6DBE" w14:textId="77777777" w:rsidR="00B9512A" w:rsidRPr="003B4F49" w:rsidRDefault="00B9512A" w:rsidP="00B9512A">
      <w:pPr>
        <w:spacing w:after="0"/>
        <w:jc w:val="center"/>
        <w:rPr>
          <w:rFonts w:ascii="Century Gothic" w:hAnsi="Century Gothic"/>
        </w:rPr>
      </w:pPr>
      <w:r w:rsidRPr="003B4F49">
        <w:rPr>
          <w:rFonts w:ascii="Century Gothic" w:hAnsi="Century Gothic"/>
        </w:rPr>
        <w:t>VEREADOR</w:t>
      </w:r>
    </w:p>
    <w:p w14:paraId="68FF5B3D" w14:textId="77777777" w:rsidR="00487003" w:rsidRPr="00487003" w:rsidRDefault="00487003" w:rsidP="00487003">
      <w:pPr>
        <w:tabs>
          <w:tab w:val="left" w:pos="7650"/>
        </w:tabs>
        <w:spacing w:before="120" w:after="120" w:line="240" w:lineRule="auto"/>
        <w:jc w:val="center"/>
        <w:rPr>
          <w:rFonts w:ascii="Century Gothic" w:hAnsi="Century Gothic"/>
          <w:b/>
        </w:rPr>
      </w:pPr>
      <w:r w:rsidRPr="00487003">
        <w:rPr>
          <w:rFonts w:ascii="Century Gothic" w:hAnsi="Century Gothic"/>
          <w:b/>
          <w:noProof/>
          <w:lang w:eastAsia="pt-BR"/>
        </w:rPr>
        <w:drawing>
          <wp:inline distT="0" distB="0" distL="0" distR="0" wp14:anchorId="6F747068" wp14:editId="610926BD">
            <wp:extent cx="1152525" cy="485775"/>
            <wp:effectExtent l="0" t="0" r="9525" b="9525"/>
            <wp:docPr id="2" name="Imagem 2" descr="F:\GABINETE HELOÍSA FROIS\ASSINATURA DIGITAL\Assinatura digital Heliosa Fro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GABINETE HELOÍSA FROIS\ASSINATURA DIGITAL\Assinatura digital Heliosa Frois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C10BF" w14:textId="371FFC4C" w:rsidR="00487003" w:rsidRPr="00487003" w:rsidRDefault="00487003" w:rsidP="00487003">
      <w:pPr>
        <w:tabs>
          <w:tab w:val="left" w:pos="7650"/>
        </w:tabs>
        <w:spacing w:after="0" w:line="240" w:lineRule="auto"/>
        <w:jc w:val="center"/>
        <w:rPr>
          <w:rFonts w:ascii="Century Gothic" w:hAnsi="Century Gothic"/>
        </w:rPr>
      </w:pPr>
      <w:r w:rsidRPr="00487003">
        <w:rPr>
          <w:rFonts w:ascii="Century Gothic" w:hAnsi="Century Gothic"/>
        </w:rPr>
        <w:t>HELOISA FROIS</w:t>
      </w:r>
    </w:p>
    <w:p w14:paraId="11FB4435" w14:textId="2C28A4F8" w:rsidR="00487003" w:rsidRPr="00487003" w:rsidRDefault="00487003" w:rsidP="00487003">
      <w:pPr>
        <w:spacing w:after="0" w:line="240" w:lineRule="auto"/>
        <w:jc w:val="center"/>
        <w:rPr>
          <w:rFonts w:ascii="Century Gothic" w:hAnsi="Century Gothic"/>
        </w:rPr>
      </w:pPr>
      <w:r w:rsidRPr="00487003">
        <w:rPr>
          <w:rFonts w:ascii="Century Gothic" w:hAnsi="Century Gothic"/>
        </w:rPr>
        <w:t>VEREADORA</w:t>
      </w:r>
    </w:p>
    <w:p w14:paraId="1733DD21" w14:textId="77777777" w:rsidR="00B9512A" w:rsidRDefault="00B9512A" w:rsidP="00B9512A">
      <w:pPr>
        <w:spacing w:after="0"/>
        <w:jc w:val="center"/>
        <w:rPr>
          <w:rFonts w:ascii="Century Gothic" w:hAnsi="Century Gothic" w:cs="Times-Roman"/>
          <w:b/>
        </w:rPr>
      </w:pPr>
    </w:p>
    <w:p w14:paraId="60ACBDB0" w14:textId="77777777" w:rsidR="00B9512A" w:rsidRPr="00487003" w:rsidRDefault="00B9512A" w:rsidP="00487003">
      <w:pPr>
        <w:spacing w:after="0"/>
        <w:rPr>
          <w:rFonts w:ascii="Century Gothic" w:hAnsi="Century Gothic" w:cs="Times-Roman"/>
        </w:rPr>
      </w:pPr>
      <w:r w:rsidRPr="00487003">
        <w:rPr>
          <w:rFonts w:ascii="Century Gothic" w:hAnsi="Century Gothic" w:cs="Times-Roman"/>
        </w:rPr>
        <w:lastRenderedPageBreak/>
        <w:t>JUSTIFICATIVA:</w:t>
      </w:r>
    </w:p>
    <w:p w14:paraId="5DF5EE04" w14:textId="77777777" w:rsidR="00B9512A" w:rsidRPr="00B9512A" w:rsidRDefault="00B9512A" w:rsidP="00B9512A">
      <w:pPr>
        <w:spacing w:after="0"/>
        <w:jc w:val="center"/>
        <w:rPr>
          <w:rFonts w:ascii="Century Gothic" w:hAnsi="Century Gothic" w:cs="Times-Roman"/>
          <w:b/>
        </w:rPr>
      </w:pPr>
    </w:p>
    <w:p w14:paraId="3EB8EA91" w14:textId="4FFCE3F4" w:rsidR="00B9512A" w:rsidRPr="00B9512A" w:rsidRDefault="00B9512A" w:rsidP="00B9512A">
      <w:pPr>
        <w:spacing w:after="0" w:line="360" w:lineRule="auto"/>
        <w:jc w:val="both"/>
        <w:rPr>
          <w:rFonts w:ascii="Century Gothic" w:hAnsi="Century Gothic" w:cs="Times-Roman"/>
        </w:rPr>
      </w:pPr>
      <w:r w:rsidRPr="00B9512A">
        <w:rPr>
          <w:rFonts w:ascii="Century Gothic" w:hAnsi="Century Gothic" w:cs="Times-Roman"/>
        </w:rPr>
        <w:tab/>
        <w:t>O presente anteprojeto</w:t>
      </w:r>
      <w:r w:rsidR="00E21DA3">
        <w:rPr>
          <w:rFonts w:ascii="Century Gothic" w:hAnsi="Century Gothic" w:cs="Times-Roman"/>
        </w:rPr>
        <w:t xml:space="preserve"> visa</w:t>
      </w:r>
      <w:r w:rsidRPr="00B9512A">
        <w:rPr>
          <w:rFonts w:ascii="Century Gothic" w:hAnsi="Century Gothic" w:cs="Times-Roman"/>
        </w:rPr>
        <w:t xml:space="preserve"> assegurar o direito</w:t>
      </w:r>
      <w:r w:rsidR="00E21DA3">
        <w:rPr>
          <w:rFonts w:ascii="Century Gothic" w:hAnsi="Century Gothic" w:cs="Times-Roman"/>
        </w:rPr>
        <w:t xml:space="preserve"> da percepção do adicional de periculosidade aos </w:t>
      </w:r>
      <w:r w:rsidRPr="00B9512A">
        <w:rPr>
          <w:rFonts w:ascii="Century Gothic" w:hAnsi="Century Gothic" w:cs="Times-Roman"/>
        </w:rPr>
        <w:t>guardas municipais de Sete Lagoas</w:t>
      </w:r>
      <w:r w:rsidR="00E21DA3">
        <w:rPr>
          <w:rFonts w:ascii="Century Gothic" w:hAnsi="Century Gothic" w:cs="Times-Roman"/>
        </w:rPr>
        <w:t xml:space="preserve">, em cumprimento ao disposto no </w:t>
      </w:r>
      <w:r w:rsidR="00E21DA3" w:rsidRPr="00156A61">
        <w:rPr>
          <w:rFonts w:ascii="Century Gothic" w:hAnsi="Century Gothic" w:cs="Times-Roman"/>
        </w:rPr>
        <w:t>art. 147 da Lei Complementar nº 192, de 30 de março de 2016 –</w:t>
      </w:r>
      <w:r w:rsidR="00E21DA3">
        <w:rPr>
          <w:rFonts w:ascii="Century Gothic" w:hAnsi="Century Gothic" w:cs="Times-Roman"/>
        </w:rPr>
        <w:t xml:space="preserve"> </w:t>
      </w:r>
      <w:r w:rsidR="00E21DA3" w:rsidRPr="00156A61">
        <w:rPr>
          <w:rFonts w:ascii="Century Gothic" w:hAnsi="Century Gothic" w:cs="Times-Roman"/>
        </w:rPr>
        <w:t>Estatuto Dos Servidores Públicos Do Município de Sete Lagoas</w:t>
      </w:r>
      <w:r w:rsidR="00E21DA3">
        <w:rPr>
          <w:rFonts w:ascii="Century Gothic" w:hAnsi="Century Gothic" w:cs="Times-Roman"/>
        </w:rPr>
        <w:t xml:space="preserve">, </w:t>
      </w:r>
      <w:r w:rsidR="00E21DA3" w:rsidRPr="00156A61">
        <w:rPr>
          <w:rFonts w:ascii="Century Gothic" w:hAnsi="Century Gothic" w:cs="Times-Roman"/>
        </w:rPr>
        <w:t>Lei Complementar N°</w:t>
      </w:r>
      <w:r w:rsidR="00E21DA3">
        <w:rPr>
          <w:rFonts w:ascii="Century Gothic" w:hAnsi="Century Gothic" w:cs="Times-Roman"/>
        </w:rPr>
        <w:t xml:space="preserve"> </w:t>
      </w:r>
      <w:r w:rsidR="00E21DA3" w:rsidRPr="00156A61">
        <w:rPr>
          <w:rFonts w:ascii="Century Gothic" w:hAnsi="Century Gothic" w:cs="Times-Roman"/>
        </w:rPr>
        <w:t>81 de 04 de setembro de 2003</w:t>
      </w:r>
      <w:r w:rsidR="00E21DA3">
        <w:rPr>
          <w:rFonts w:ascii="Century Gothic" w:hAnsi="Century Gothic" w:cs="Times-Roman"/>
        </w:rPr>
        <w:t>,</w:t>
      </w:r>
      <w:r w:rsidR="00E21DA3" w:rsidRPr="00156A61">
        <w:rPr>
          <w:rFonts w:ascii="Century Gothic" w:hAnsi="Century Gothic" w:cs="Times-Roman"/>
        </w:rPr>
        <w:t xml:space="preserve"> NR-16</w:t>
      </w:r>
      <w:r w:rsidR="00E21DA3">
        <w:rPr>
          <w:rFonts w:ascii="Century Gothic" w:hAnsi="Century Gothic" w:cs="Times-Roman"/>
        </w:rPr>
        <w:t xml:space="preserve"> e</w:t>
      </w:r>
      <w:r w:rsidR="00E21DA3" w:rsidRPr="00156A61">
        <w:rPr>
          <w:rFonts w:ascii="Century Gothic" w:hAnsi="Century Gothic" w:cs="Times-Roman"/>
        </w:rPr>
        <w:t xml:space="preserve"> Anexo N°3, da Portaria 3.214/78 de 08/06/78, do Ministério do Trabalho e Emprego.  </w:t>
      </w:r>
      <w:r w:rsidR="00E21DA3">
        <w:rPr>
          <w:rFonts w:ascii="Century Gothic" w:hAnsi="Century Gothic" w:cs="Times-Roman"/>
        </w:rPr>
        <w:t xml:space="preserve"> </w:t>
      </w:r>
      <w:r w:rsidRPr="00B9512A">
        <w:rPr>
          <w:rFonts w:ascii="Century Gothic" w:hAnsi="Century Gothic" w:cs="Times-Roman"/>
        </w:rPr>
        <w:t xml:space="preserve"> </w:t>
      </w:r>
    </w:p>
    <w:p w14:paraId="570B91B8" w14:textId="755CA761" w:rsidR="00B9512A" w:rsidRPr="00B9512A" w:rsidRDefault="00B9512A" w:rsidP="00B9512A">
      <w:pPr>
        <w:spacing w:after="0" w:line="360" w:lineRule="auto"/>
        <w:jc w:val="both"/>
        <w:rPr>
          <w:rFonts w:ascii="Century Gothic" w:hAnsi="Century Gothic" w:cs="Times-Roman"/>
        </w:rPr>
      </w:pPr>
      <w:r w:rsidRPr="00B9512A">
        <w:rPr>
          <w:rFonts w:ascii="Century Gothic" w:hAnsi="Century Gothic" w:cs="Times-Roman"/>
        </w:rPr>
        <w:tab/>
      </w:r>
      <w:r w:rsidR="00E21DA3">
        <w:rPr>
          <w:rFonts w:ascii="Century Gothic" w:hAnsi="Century Gothic" w:cs="Times-Roman"/>
        </w:rPr>
        <w:t>Sabemos</w:t>
      </w:r>
      <w:r w:rsidRPr="00B9512A">
        <w:rPr>
          <w:rFonts w:ascii="Century Gothic" w:hAnsi="Century Gothic" w:cs="Times-Roman"/>
        </w:rPr>
        <w:t xml:space="preserve"> que os integrantes da Guarda Municipal exercem atividade de alto risco, uma vez enfrentam questões de segurança pública em defesa em defesa da população de nossa cidade, o que torna essa atividade perigosa.</w:t>
      </w:r>
      <w:r w:rsidR="005C1B0A">
        <w:rPr>
          <w:rFonts w:ascii="Century Gothic" w:hAnsi="Century Gothic" w:cs="Times-Roman"/>
        </w:rPr>
        <w:t xml:space="preserve"> </w:t>
      </w:r>
    </w:p>
    <w:p w14:paraId="31DD87A9" w14:textId="77777777" w:rsidR="005C1B0A" w:rsidRPr="00B9512A" w:rsidRDefault="005C1B0A" w:rsidP="005C1B0A">
      <w:pPr>
        <w:spacing w:after="0" w:line="360" w:lineRule="auto"/>
        <w:jc w:val="both"/>
        <w:rPr>
          <w:rFonts w:ascii="Century Gothic" w:hAnsi="Century Gothic" w:cs="Times-Roman"/>
        </w:rPr>
      </w:pPr>
      <w:r>
        <w:rPr>
          <w:rFonts w:ascii="Century Gothic" w:hAnsi="Century Gothic" w:cs="Times-Roman"/>
        </w:rPr>
        <w:tab/>
        <w:t>Insta salientar que vários guardas municipais já obtiveram êxito na Justiça, que reconheceu o direito ao adicional de periculosidade em processos já transitados em julgado.</w:t>
      </w:r>
    </w:p>
    <w:p w14:paraId="71E21FE6" w14:textId="3BEBA3BE" w:rsidR="00B9512A" w:rsidRDefault="005C1B0A" w:rsidP="00B9512A">
      <w:pPr>
        <w:spacing w:after="0" w:line="360" w:lineRule="auto"/>
        <w:jc w:val="both"/>
        <w:rPr>
          <w:rFonts w:ascii="Century Gothic" w:hAnsi="Century Gothic" w:cs="Times-Roman"/>
        </w:rPr>
      </w:pPr>
      <w:r>
        <w:rPr>
          <w:rFonts w:ascii="Century Gothic" w:hAnsi="Century Gothic" w:cs="Times-Roman"/>
        </w:rPr>
        <w:tab/>
      </w:r>
      <w:r w:rsidR="00B9512A" w:rsidRPr="00B9512A">
        <w:rPr>
          <w:rFonts w:ascii="Century Gothic" w:hAnsi="Century Gothic" w:cs="Times-Roman"/>
        </w:rPr>
        <w:t>Portanto, reconhecer o direito ora pretendido</w:t>
      </w:r>
      <w:r w:rsidR="004512DB">
        <w:rPr>
          <w:rFonts w:ascii="Century Gothic" w:hAnsi="Century Gothic" w:cs="Times-Roman"/>
        </w:rPr>
        <w:t>, é garantir o cumprimento da lei e</w:t>
      </w:r>
      <w:r w:rsidR="00B9512A" w:rsidRPr="00B9512A">
        <w:rPr>
          <w:rFonts w:ascii="Century Gothic" w:hAnsi="Century Gothic" w:cs="Times-Roman"/>
        </w:rPr>
        <w:t xml:space="preserve"> dar dignidade aos integrantes da Guarda Municipal de Sete Lagoas, </w:t>
      </w:r>
      <w:r w:rsidR="00CC4C17">
        <w:rPr>
          <w:rFonts w:ascii="Century Gothic" w:hAnsi="Century Gothic" w:cs="Times-Roman"/>
        </w:rPr>
        <w:t>que</w:t>
      </w:r>
      <w:r w:rsidR="00B9512A" w:rsidRPr="00B9512A">
        <w:rPr>
          <w:rFonts w:ascii="Century Gothic" w:hAnsi="Century Gothic" w:cs="Times-Roman"/>
        </w:rPr>
        <w:t xml:space="preserve"> lutam em defesa da Segurança Pública de nossa cidade.</w:t>
      </w:r>
    </w:p>
    <w:p w14:paraId="62D85DB7" w14:textId="0B05489F" w:rsidR="00D1352A" w:rsidRPr="00B9512A" w:rsidRDefault="00B9512A" w:rsidP="00B9512A">
      <w:pPr>
        <w:spacing w:after="0" w:line="360" w:lineRule="auto"/>
        <w:jc w:val="both"/>
        <w:rPr>
          <w:rFonts w:ascii="Century Gothic" w:hAnsi="Century Gothic" w:cs="Arial"/>
        </w:rPr>
      </w:pPr>
      <w:r w:rsidRPr="00B9512A">
        <w:rPr>
          <w:rFonts w:ascii="Century Gothic" w:hAnsi="Century Gothic" w:cs="Times-Roman"/>
        </w:rPr>
        <w:tab/>
        <w:t xml:space="preserve">Dessa forma, estando em termos e de acordo com as normas legais, </w:t>
      </w:r>
      <w:r w:rsidR="00102E2C">
        <w:rPr>
          <w:rFonts w:ascii="Century Gothic" w:hAnsi="Century Gothic" w:cs="Times-Roman"/>
        </w:rPr>
        <w:t>solicitamos</w:t>
      </w:r>
      <w:bookmarkStart w:id="1" w:name="_GoBack"/>
      <w:bookmarkEnd w:id="1"/>
      <w:r w:rsidRPr="00B9512A">
        <w:rPr>
          <w:rFonts w:ascii="Century Gothic" w:hAnsi="Century Gothic" w:cs="Times-Roman"/>
        </w:rPr>
        <w:t xml:space="preserve"> a aprovação por todos os demais </w:t>
      </w:r>
      <w:r w:rsidR="000A7703">
        <w:rPr>
          <w:rFonts w:ascii="Century Gothic" w:hAnsi="Century Gothic" w:cs="Times-Roman"/>
        </w:rPr>
        <w:t>p</w:t>
      </w:r>
      <w:r w:rsidRPr="00B9512A">
        <w:rPr>
          <w:rFonts w:ascii="Century Gothic" w:hAnsi="Century Gothic" w:cs="Times-Roman"/>
        </w:rPr>
        <w:t>ares desta Casa de Leis.</w:t>
      </w:r>
    </w:p>
    <w:p w14:paraId="32EFBD30" w14:textId="77777777" w:rsidR="00D1352A" w:rsidRPr="00B9512A" w:rsidRDefault="00D1352A" w:rsidP="00B9512A">
      <w:pPr>
        <w:spacing w:after="0" w:line="360" w:lineRule="auto"/>
        <w:jc w:val="both"/>
        <w:rPr>
          <w:rFonts w:ascii="Century Gothic" w:hAnsi="Century Gothic" w:cs="Arial"/>
        </w:rPr>
      </w:pPr>
    </w:p>
    <w:p w14:paraId="1A55980B" w14:textId="77777777" w:rsidR="00D1352A" w:rsidRPr="00B9512A" w:rsidRDefault="00D1352A" w:rsidP="00B9512A">
      <w:pPr>
        <w:spacing w:after="0" w:line="360" w:lineRule="auto"/>
        <w:jc w:val="both"/>
        <w:rPr>
          <w:rFonts w:ascii="Century Gothic" w:hAnsi="Century Gothic" w:cs="Arial"/>
        </w:rPr>
      </w:pPr>
    </w:p>
    <w:p w14:paraId="39660CB4" w14:textId="77777777" w:rsidR="00D1352A" w:rsidRPr="00B9512A" w:rsidRDefault="00D1352A" w:rsidP="00B9512A">
      <w:pPr>
        <w:spacing w:line="276" w:lineRule="auto"/>
        <w:jc w:val="both"/>
        <w:rPr>
          <w:rFonts w:ascii="Century Gothic" w:hAnsi="Century Gothic" w:cs="Arial"/>
        </w:rPr>
      </w:pPr>
    </w:p>
    <w:sectPr w:rsidR="00D1352A" w:rsidRPr="00B9512A" w:rsidSect="00C90640">
      <w:headerReference w:type="default" r:id="rId11"/>
      <w:pgSz w:w="11906" w:h="16838"/>
      <w:pgMar w:top="1418" w:right="1418" w:bottom="1418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86FEF1" w14:textId="77777777" w:rsidR="0008348D" w:rsidRDefault="0008348D" w:rsidP="007A2F46">
      <w:pPr>
        <w:spacing w:after="0" w:line="240" w:lineRule="auto"/>
      </w:pPr>
      <w:r>
        <w:separator/>
      </w:r>
    </w:p>
  </w:endnote>
  <w:endnote w:type="continuationSeparator" w:id="0">
    <w:p w14:paraId="3C24E444" w14:textId="77777777" w:rsidR="0008348D" w:rsidRDefault="0008348D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5DC833" w14:textId="77777777" w:rsidR="0008348D" w:rsidRDefault="0008348D" w:rsidP="007A2F46">
      <w:pPr>
        <w:spacing w:after="0" w:line="240" w:lineRule="auto"/>
      </w:pPr>
      <w:r>
        <w:separator/>
      </w:r>
    </w:p>
  </w:footnote>
  <w:footnote w:type="continuationSeparator" w:id="0">
    <w:p w14:paraId="3264D4F9" w14:textId="77777777" w:rsidR="0008348D" w:rsidRDefault="0008348D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30A96E" w14:textId="77777777" w:rsidR="00040104" w:rsidRDefault="00040104" w:rsidP="00040104">
    <w:pPr>
      <w:pStyle w:val="Cabealho"/>
      <w:ind w:left="-1701"/>
      <w:rPr>
        <w:noProof/>
      </w:rPr>
    </w:pPr>
  </w:p>
  <w:p w14:paraId="78E0B986" w14:textId="77777777"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30AD67AE" wp14:editId="076F4F96">
          <wp:extent cx="7783536" cy="1145754"/>
          <wp:effectExtent l="0" t="0" r="825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3A3E57" w14:textId="77777777" w:rsidR="007A2F46" w:rsidRDefault="007A2F4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F62EFC"/>
    <w:multiLevelType w:val="hybridMultilevel"/>
    <w:tmpl w:val="57B6697A"/>
    <w:lvl w:ilvl="0" w:tplc="E1A869A2">
      <w:start w:val="2"/>
      <w:numFmt w:val="upperRoman"/>
      <w:lvlText w:val="%1"/>
      <w:lvlJc w:val="left"/>
      <w:pPr>
        <w:ind w:left="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F2F06DC6">
      <w:start w:val="1"/>
      <w:numFmt w:val="lowerLetter"/>
      <w:lvlText w:val="%2"/>
      <w:lvlJc w:val="left"/>
      <w:pPr>
        <w:ind w:left="1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C7BAE688">
      <w:start w:val="1"/>
      <w:numFmt w:val="lowerRoman"/>
      <w:lvlText w:val="%3"/>
      <w:lvlJc w:val="left"/>
      <w:pPr>
        <w:ind w:left="2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72A6BDAE">
      <w:start w:val="1"/>
      <w:numFmt w:val="decimal"/>
      <w:lvlText w:val="%4"/>
      <w:lvlJc w:val="left"/>
      <w:pPr>
        <w:ind w:left="3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3F90DECC">
      <w:start w:val="1"/>
      <w:numFmt w:val="lowerLetter"/>
      <w:lvlText w:val="%5"/>
      <w:lvlJc w:val="left"/>
      <w:pPr>
        <w:ind w:left="3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CCF8C634">
      <w:start w:val="1"/>
      <w:numFmt w:val="lowerRoman"/>
      <w:lvlText w:val="%6"/>
      <w:lvlJc w:val="left"/>
      <w:pPr>
        <w:ind w:left="4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6040E3EC">
      <w:start w:val="1"/>
      <w:numFmt w:val="decimal"/>
      <w:lvlText w:val="%7"/>
      <w:lvlJc w:val="left"/>
      <w:pPr>
        <w:ind w:left="5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6B32E904">
      <w:start w:val="1"/>
      <w:numFmt w:val="lowerLetter"/>
      <w:lvlText w:val="%8"/>
      <w:lvlJc w:val="left"/>
      <w:pPr>
        <w:ind w:left="6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F1CA9058">
      <w:start w:val="1"/>
      <w:numFmt w:val="lowerRoman"/>
      <w:lvlText w:val="%9"/>
      <w:lvlJc w:val="left"/>
      <w:pPr>
        <w:ind w:left="6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C1D0BC7"/>
    <w:multiLevelType w:val="hybridMultilevel"/>
    <w:tmpl w:val="06509CBA"/>
    <w:lvl w:ilvl="0" w:tplc="0B586C26">
      <w:start w:val="1"/>
      <w:numFmt w:val="upperRoman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565A4EDE">
      <w:start w:val="1"/>
      <w:numFmt w:val="lowerLetter"/>
      <w:lvlText w:val="%2"/>
      <w:lvlJc w:val="left"/>
      <w:pPr>
        <w:ind w:left="1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137CE42A">
      <w:start w:val="1"/>
      <w:numFmt w:val="lowerRoman"/>
      <w:lvlText w:val="%3"/>
      <w:lvlJc w:val="left"/>
      <w:pPr>
        <w:ind w:left="2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9B3846FC">
      <w:start w:val="1"/>
      <w:numFmt w:val="decimal"/>
      <w:lvlText w:val="%4"/>
      <w:lvlJc w:val="left"/>
      <w:pPr>
        <w:ind w:left="3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7D70CA08">
      <w:start w:val="1"/>
      <w:numFmt w:val="lowerLetter"/>
      <w:lvlText w:val="%5"/>
      <w:lvlJc w:val="left"/>
      <w:pPr>
        <w:ind w:left="3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4F7CA3DC">
      <w:start w:val="1"/>
      <w:numFmt w:val="lowerRoman"/>
      <w:lvlText w:val="%6"/>
      <w:lvlJc w:val="left"/>
      <w:pPr>
        <w:ind w:left="4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ACE458F4">
      <w:start w:val="1"/>
      <w:numFmt w:val="decimal"/>
      <w:lvlText w:val="%7"/>
      <w:lvlJc w:val="left"/>
      <w:pPr>
        <w:ind w:left="5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0CC2C5BA">
      <w:start w:val="1"/>
      <w:numFmt w:val="lowerLetter"/>
      <w:lvlText w:val="%8"/>
      <w:lvlJc w:val="left"/>
      <w:pPr>
        <w:ind w:left="6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16225C5C">
      <w:start w:val="1"/>
      <w:numFmt w:val="lowerRoman"/>
      <w:lvlText w:val="%9"/>
      <w:lvlJc w:val="left"/>
      <w:pPr>
        <w:ind w:left="6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F46"/>
    <w:rsid w:val="00016CFF"/>
    <w:rsid w:val="00033B6E"/>
    <w:rsid w:val="00034C8A"/>
    <w:rsid w:val="00040104"/>
    <w:rsid w:val="0007727B"/>
    <w:rsid w:val="0008348D"/>
    <w:rsid w:val="000868B7"/>
    <w:rsid w:val="00096F70"/>
    <w:rsid w:val="000A7703"/>
    <w:rsid w:val="000E6073"/>
    <w:rsid w:val="00102903"/>
    <w:rsid w:val="00102E2C"/>
    <w:rsid w:val="0012013C"/>
    <w:rsid w:val="00122B6A"/>
    <w:rsid w:val="00122D57"/>
    <w:rsid w:val="00124128"/>
    <w:rsid w:val="001344B5"/>
    <w:rsid w:val="00156A61"/>
    <w:rsid w:val="00193504"/>
    <w:rsid w:val="001C43E8"/>
    <w:rsid w:val="001F77FC"/>
    <w:rsid w:val="00203713"/>
    <w:rsid w:val="002200B6"/>
    <w:rsid w:val="002253DC"/>
    <w:rsid w:val="00230871"/>
    <w:rsid w:val="00272B10"/>
    <w:rsid w:val="0029045D"/>
    <w:rsid w:val="002A5A1B"/>
    <w:rsid w:val="002D4258"/>
    <w:rsid w:val="002F37B0"/>
    <w:rsid w:val="00322D80"/>
    <w:rsid w:val="0032647C"/>
    <w:rsid w:val="00361F3B"/>
    <w:rsid w:val="00373FA3"/>
    <w:rsid w:val="00386494"/>
    <w:rsid w:val="003869B1"/>
    <w:rsid w:val="003B4F49"/>
    <w:rsid w:val="003F773C"/>
    <w:rsid w:val="004512DB"/>
    <w:rsid w:val="0045171A"/>
    <w:rsid w:val="00487003"/>
    <w:rsid w:val="00494CA2"/>
    <w:rsid w:val="004963F4"/>
    <w:rsid w:val="004C16CA"/>
    <w:rsid w:val="004C5FCD"/>
    <w:rsid w:val="004F458A"/>
    <w:rsid w:val="005C1B0A"/>
    <w:rsid w:val="005D6D23"/>
    <w:rsid w:val="005E2BB6"/>
    <w:rsid w:val="005E7E83"/>
    <w:rsid w:val="00646D6B"/>
    <w:rsid w:val="006565F9"/>
    <w:rsid w:val="0069753E"/>
    <w:rsid w:val="006A59C1"/>
    <w:rsid w:val="006D2CEE"/>
    <w:rsid w:val="00753BDD"/>
    <w:rsid w:val="00782051"/>
    <w:rsid w:val="007903F2"/>
    <w:rsid w:val="007A2F46"/>
    <w:rsid w:val="007A4387"/>
    <w:rsid w:val="007E47C0"/>
    <w:rsid w:val="008235F9"/>
    <w:rsid w:val="00825B19"/>
    <w:rsid w:val="00844CCD"/>
    <w:rsid w:val="0092619B"/>
    <w:rsid w:val="00947CF1"/>
    <w:rsid w:val="009544E6"/>
    <w:rsid w:val="00984C9A"/>
    <w:rsid w:val="009D02D4"/>
    <w:rsid w:val="009F1501"/>
    <w:rsid w:val="00A8044C"/>
    <w:rsid w:val="00AB51A3"/>
    <w:rsid w:val="00AD43BA"/>
    <w:rsid w:val="00B027A7"/>
    <w:rsid w:val="00B8511A"/>
    <w:rsid w:val="00B9512A"/>
    <w:rsid w:val="00BA486F"/>
    <w:rsid w:val="00BA4A7C"/>
    <w:rsid w:val="00BC3C82"/>
    <w:rsid w:val="00BD75A7"/>
    <w:rsid w:val="00BE7577"/>
    <w:rsid w:val="00BF4353"/>
    <w:rsid w:val="00C7385A"/>
    <w:rsid w:val="00C90640"/>
    <w:rsid w:val="00C96817"/>
    <w:rsid w:val="00CB0A94"/>
    <w:rsid w:val="00CC4C17"/>
    <w:rsid w:val="00CD6EA0"/>
    <w:rsid w:val="00D1352A"/>
    <w:rsid w:val="00D2333F"/>
    <w:rsid w:val="00D662E2"/>
    <w:rsid w:val="00D67D5D"/>
    <w:rsid w:val="00D74615"/>
    <w:rsid w:val="00D8409C"/>
    <w:rsid w:val="00D9008F"/>
    <w:rsid w:val="00DB1F7A"/>
    <w:rsid w:val="00DC1E75"/>
    <w:rsid w:val="00DC3F3A"/>
    <w:rsid w:val="00DD08E5"/>
    <w:rsid w:val="00DE4E33"/>
    <w:rsid w:val="00DF617A"/>
    <w:rsid w:val="00DF7FE3"/>
    <w:rsid w:val="00E03821"/>
    <w:rsid w:val="00E21DA3"/>
    <w:rsid w:val="00E23E31"/>
    <w:rsid w:val="00E65914"/>
    <w:rsid w:val="00E76668"/>
    <w:rsid w:val="00EA5BBE"/>
    <w:rsid w:val="00EB28BF"/>
    <w:rsid w:val="00EB5CFA"/>
    <w:rsid w:val="00ED655A"/>
    <w:rsid w:val="00EF49CD"/>
    <w:rsid w:val="00F03630"/>
    <w:rsid w:val="00F675B3"/>
    <w:rsid w:val="00FA2B56"/>
    <w:rsid w:val="00FC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08A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BA4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E47C0"/>
    <w:rPr>
      <w:color w:val="0000FF"/>
      <w:u w:val="single"/>
    </w:rPr>
  </w:style>
  <w:style w:type="table" w:customStyle="1" w:styleId="TableGrid">
    <w:name w:val="TableGrid"/>
    <w:rsid w:val="004F458A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A5B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DE4E3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rsid w:val="0092619B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92619B"/>
    <w:rPr>
      <w:rFonts w:ascii="Liberation Serif" w:eastAsia="DejaVu Sans" w:hAnsi="Liberation Serif" w:cs="DejaVu Sans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BA4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E47C0"/>
    <w:rPr>
      <w:color w:val="0000FF"/>
      <w:u w:val="single"/>
    </w:rPr>
  </w:style>
  <w:style w:type="table" w:customStyle="1" w:styleId="TableGrid">
    <w:name w:val="TableGrid"/>
    <w:rsid w:val="004F458A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A5B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DE4E3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rsid w:val="0092619B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92619B"/>
    <w:rPr>
      <w:rFonts w:ascii="Liberation Serif" w:eastAsia="DejaVu Sans" w:hAnsi="Liberation Serif" w:cs="DejaVu Sans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66E4F-55EF-4E30-9F36-467398C56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796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IVSON.02</cp:lastModifiedBy>
  <cp:revision>21</cp:revision>
  <cp:lastPrinted>2021-05-13T19:22:00Z</cp:lastPrinted>
  <dcterms:created xsi:type="dcterms:W3CDTF">2021-03-19T13:03:00Z</dcterms:created>
  <dcterms:modified xsi:type="dcterms:W3CDTF">2021-05-13T19:22:00Z</dcterms:modified>
</cp:coreProperties>
</file>