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23" w:type="dxa"/>
        <w:tblInd w:w="-51" w:type="dxa"/>
        <w:tblLayout w:type="fixed"/>
        <w:tblCellMar>
          <w:left w:w="180" w:type="dxa"/>
          <w:right w:w="180" w:type="dxa"/>
        </w:tblCellMar>
        <w:tblLook w:val="0000"/>
      </w:tblPr>
      <w:tblGrid>
        <w:gridCol w:w="1349"/>
        <w:gridCol w:w="8774"/>
      </w:tblGrid>
      <w:tr w:rsidR="00EF1FBD" w:rsidRPr="00412F66" w:rsidTr="00D56E16">
        <w:trPr>
          <w:trHeight w:val="1418"/>
        </w:trPr>
        <w:tc>
          <w:tcPr>
            <w:tcW w:w="1349" w:type="dxa"/>
            <w:vAlign w:val="center"/>
          </w:tcPr>
          <w:p w:rsidR="00EF1FBD" w:rsidRPr="00901BD1" w:rsidRDefault="00AE7EF1" w:rsidP="00D56E16">
            <w:pPr>
              <w:snapToGrid w:val="0"/>
              <w:rPr>
                <w:color w:val="000080"/>
              </w:rPr>
            </w:pPr>
            <w:r>
              <w:rPr>
                <w:noProof/>
                <w:color w:val="000080"/>
                <w:lang w:eastAsia="pt-BR"/>
              </w:rPr>
              <w:drawing>
                <wp:anchor distT="0" distB="0" distL="114300" distR="114300" simplePos="0" relativeHeight="251657728" behindDoc="0" locked="0" layoutInCell="1" allowOverlap="1">
                  <wp:simplePos x="0" y="0"/>
                  <wp:positionH relativeFrom="margin">
                    <wp:posOffset>-171450</wp:posOffset>
                  </wp:positionH>
                  <wp:positionV relativeFrom="margin">
                    <wp:posOffset>-257175</wp:posOffset>
                  </wp:positionV>
                  <wp:extent cx="742950" cy="962025"/>
                  <wp:effectExtent l="0" t="0" r="0"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2950" cy="962025"/>
                          </a:xfrm>
                          <a:prstGeom prst="rect">
                            <a:avLst/>
                          </a:prstGeom>
                          <a:noFill/>
                          <a:ln>
                            <a:noFill/>
                          </a:ln>
                        </pic:spPr>
                      </pic:pic>
                    </a:graphicData>
                  </a:graphic>
                </wp:anchor>
              </w:drawing>
            </w:r>
          </w:p>
        </w:tc>
        <w:tc>
          <w:tcPr>
            <w:tcW w:w="8774" w:type="dxa"/>
            <w:vAlign w:val="center"/>
          </w:tcPr>
          <w:p w:rsidR="00EF1FBD" w:rsidRPr="00412F66" w:rsidRDefault="00EF1FBD" w:rsidP="00D56E16">
            <w:pPr>
              <w:keepNext/>
              <w:snapToGrid w:val="0"/>
              <w:ind w:left="-195"/>
              <w:rPr>
                <w:sz w:val="36"/>
                <w:szCs w:val="36"/>
              </w:rPr>
            </w:pPr>
            <w:r w:rsidRPr="00901BD1">
              <w:rPr>
                <w:sz w:val="36"/>
                <w:szCs w:val="36"/>
              </w:rPr>
              <w:t>PREFEITURA MUNICIPAL DE SETE LAGOAS</w:t>
            </w:r>
          </w:p>
        </w:tc>
      </w:tr>
    </w:tbl>
    <w:p w:rsidR="00EF1FBD" w:rsidRPr="00322507" w:rsidRDefault="33F73A4A" w:rsidP="00EF1FBD">
      <w:pPr>
        <w:ind w:firstLine="2268"/>
        <w:jc w:val="both"/>
        <w:rPr>
          <w:b/>
          <w:bCs/>
        </w:rPr>
      </w:pPr>
      <w:r w:rsidRPr="33F73A4A">
        <w:rPr>
          <w:b/>
          <w:bCs/>
        </w:rPr>
        <w:t xml:space="preserve">MENSAGEM Nº </w:t>
      </w:r>
      <w:r w:rsidR="005F09BE">
        <w:rPr>
          <w:b/>
          <w:bCs/>
        </w:rPr>
        <w:t>55</w:t>
      </w:r>
      <w:r w:rsidRPr="33F73A4A">
        <w:rPr>
          <w:b/>
          <w:bCs/>
        </w:rPr>
        <w:t>/2020.</w:t>
      </w:r>
    </w:p>
    <w:p w:rsidR="00EF1FBD" w:rsidRPr="00322507" w:rsidRDefault="00EF1FBD" w:rsidP="00EF1FBD">
      <w:pPr>
        <w:tabs>
          <w:tab w:val="left" w:pos="4446"/>
        </w:tabs>
        <w:jc w:val="both"/>
        <w:rPr>
          <w:b/>
          <w:bCs/>
        </w:rPr>
      </w:pPr>
    </w:p>
    <w:p w:rsidR="00D56E16" w:rsidRPr="00322507" w:rsidRDefault="00D56E16" w:rsidP="00EF1FBD">
      <w:pPr>
        <w:tabs>
          <w:tab w:val="left" w:pos="4446"/>
        </w:tabs>
        <w:ind w:left="2268"/>
        <w:jc w:val="both"/>
        <w:rPr>
          <w:b/>
        </w:rPr>
      </w:pPr>
      <w:r w:rsidRPr="00322507">
        <w:rPr>
          <w:b/>
          <w:bCs/>
        </w:rPr>
        <w:t>RAZÕES DE VETO TOTAL AO PROJETO DE LEI</w:t>
      </w:r>
      <w:r w:rsidR="00EC7D4D">
        <w:rPr>
          <w:b/>
          <w:bCs/>
        </w:rPr>
        <w:t xml:space="preserve"> COMPLEMENTAR</w:t>
      </w:r>
      <w:r w:rsidRPr="00322507">
        <w:rPr>
          <w:b/>
          <w:bCs/>
        </w:rPr>
        <w:t xml:space="preserve"> Nº </w:t>
      </w:r>
      <w:r w:rsidR="00EC7D4D">
        <w:rPr>
          <w:b/>
          <w:bCs/>
        </w:rPr>
        <w:t>17/2019</w:t>
      </w:r>
      <w:r w:rsidR="008502F1">
        <w:rPr>
          <w:b/>
          <w:bCs/>
        </w:rPr>
        <w:t xml:space="preserve">, </w:t>
      </w:r>
      <w:r w:rsidRPr="00322507">
        <w:rPr>
          <w:b/>
          <w:bCs/>
        </w:rPr>
        <w:t xml:space="preserve">QUE </w:t>
      </w:r>
      <w:r w:rsidR="00895B09" w:rsidRPr="00EC7D4D">
        <w:rPr>
          <w:b/>
          <w:bCs/>
          <w:i/>
        </w:rPr>
        <w:t>“</w:t>
      </w:r>
      <w:r w:rsidR="00EC7D4D" w:rsidRPr="00EC7D4D">
        <w:rPr>
          <w:b/>
          <w:i/>
        </w:rPr>
        <w:t>ALTERA A LEI COMPLEMENTAR Nº 226 DE 08 DE AGOSTO DE 2019 QUE ‘</w:t>
      </w:r>
      <w:r w:rsidR="00EC7D4D" w:rsidRPr="00EC7D4D">
        <w:rPr>
          <w:b/>
          <w:bCs/>
          <w:i/>
        </w:rPr>
        <w:t>DISPÕE SOBRE A REGULARIZAÇÃO DE EDIFICAÇÕES NO MUNICÍPIO DE SETE LAGOAS E DÁ OUTRAS PROVIDÊNCIAS</w:t>
      </w:r>
      <w:r w:rsidR="00570F7D" w:rsidRPr="00EC7D4D">
        <w:rPr>
          <w:b/>
          <w:i/>
        </w:rPr>
        <w:t>”</w:t>
      </w:r>
      <w:r w:rsidR="00570F7D" w:rsidRPr="00322507">
        <w:rPr>
          <w:b/>
        </w:rPr>
        <w:t>.</w:t>
      </w:r>
    </w:p>
    <w:p w:rsidR="00D56E16" w:rsidRPr="00322507" w:rsidRDefault="00D56E16" w:rsidP="00895B09">
      <w:pPr>
        <w:tabs>
          <w:tab w:val="left" w:pos="4446"/>
        </w:tabs>
        <w:ind w:firstLine="2268"/>
        <w:jc w:val="both"/>
        <w:rPr>
          <w:b/>
          <w:bCs/>
        </w:rPr>
      </w:pPr>
    </w:p>
    <w:p w:rsidR="00D56E16" w:rsidRPr="00322507" w:rsidRDefault="00D56E16" w:rsidP="00895B09">
      <w:pPr>
        <w:ind w:right="107" w:firstLine="2268"/>
        <w:jc w:val="both"/>
        <w:rPr>
          <w:b/>
          <w:bCs/>
        </w:rPr>
      </w:pPr>
      <w:r w:rsidRPr="00322507">
        <w:rPr>
          <w:b/>
          <w:bCs/>
        </w:rPr>
        <w:t xml:space="preserve">EXMO. </w:t>
      </w:r>
      <w:proofErr w:type="gramStart"/>
      <w:r w:rsidRPr="00322507">
        <w:rPr>
          <w:b/>
          <w:bCs/>
        </w:rPr>
        <w:t>SR.</w:t>
      </w:r>
      <w:proofErr w:type="gramEnd"/>
      <w:r w:rsidRPr="00322507">
        <w:rPr>
          <w:b/>
          <w:bCs/>
        </w:rPr>
        <w:t xml:space="preserve"> PRESIDENTE DA C</w:t>
      </w:r>
      <w:r w:rsidR="00BF2B84" w:rsidRPr="00322507">
        <w:rPr>
          <w:b/>
          <w:bCs/>
        </w:rPr>
        <w:t>ÂMARA MUNICIPAL DE SETE LAGOAS E</w:t>
      </w:r>
      <w:r w:rsidRPr="00322507">
        <w:rPr>
          <w:b/>
          <w:bCs/>
        </w:rPr>
        <w:t xml:space="preserve"> SENHORES VEREADORES,</w:t>
      </w:r>
    </w:p>
    <w:p w:rsidR="00D56E16" w:rsidRPr="00322507" w:rsidRDefault="00D56E16" w:rsidP="00895B09">
      <w:pPr>
        <w:ind w:right="107" w:firstLine="2268"/>
        <w:jc w:val="both"/>
        <w:rPr>
          <w:b/>
          <w:bCs/>
        </w:rPr>
      </w:pPr>
    </w:p>
    <w:p w:rsidR="00EC7D4D" w:rsidRPr="00051218" w:rsidRDefault="00D56E16" w:rsidP="00EC7D4D">
      <w:pPr>
        <w:ind w:firstLine="2268"/>
        <w:jc w:val="both"/>
        <w:rPr>
          <w:highlight w:val="yellow"/>
        </w:rPr>
      </w:pPr>
      <w:r w:rsidRPr="00322507">
        <w:t xml:space="preserve">Venho comunicar que, após analisar a redação final do Projeto de Lei </w:t>
      </w:r>
      <w:r w:rsidR="00EC7D4D">
        <w:t xml:space="preserve">Complementar </w:t>
      </w:r>
      <w:r w:rsidRPr="00322507">
        <w:t xml:space="preserve">nº </w:t>
      </w:r>
      <w:r w:rsidR="00EC7D4D">
        <w:t>17/2019</w:t>
      </w:r>
      <w:r w:rsidR="00BD4DEF">
        <w:t xml:space="preserve">, </w:t>
      </w:r>
      <w:r w:rsidRPr="00322507">
        <w:t>q</w:t>
      </w:r>
      <w:r w:rsidR="00BF2B84" w:rsidRPr="00322507">
        <w:t xml:space="preserve">ue </w:t>
      </w:r>
      <w:r w:rsidR="00BF2B84" w:rsidRPr="00322507">
        <w:rPr>
          <w:i/>
        </w:rPr>
        <w:t>“</w:t>
      </w:r>
      <w:r w:rsidR="00EC7D4D">
        <w:rPr>
          <w:i/>
        </w:rPr>
        <w:t>A</w:t>
      </w:r>
      <w:r w:rsidR="00EC7D4D" w:rsidRPr="00EC7D4D">
        <w:rPr>
          <w:i/>
        </w:rPr>
        <w:t>ltera a Lei Complementar nº 226 de 08 de agosto de 2019 que ‘</w:t>
      </w:r>
      <w:r w:rsidR="00EC7D4D" w:rsidRPr="00EC7D4D">
        <w:rPr>
          <w:bCs/>
          <w:i/>
        </w:rPr>
        <w:t xml:space="preserve">dispõe sobre a regularização de edificações no Município </w:t>
      </w:r>
      <w:r w:rsidR="00EC7D4D">
        <w:rPr>
          <w:bCs/>
          <w:i/>
        </w:rPr>
        <w:t>d</w:t>
      </w:r>
      <w:r w:rsidR="00EC7D4D" w:rsidRPr="00EC7D4D">
        <w:rPr>
          <w:bCs/>
          <w:i/>
        </w:rPr>
        <w:t>e Sete Lagoas e dá outras providências</w:t>
      </w:r>
      <w:r w:rsidRPr="00322507">
        <w:rPr>
          <w:i/>
        </w:rPr>
        <w:t>”</w:t>
      </w:r>
      <w:r w:rsidRPr="00322507">
        <w:t xml:space="preserve">, resolvi, conforme previsto no inciso II do artigo 82 da Lei Orgânica do Município de Sete Lagoas, </w:t>
      </w:r>
      <w:proofErr w:type="gramStart"/>
      <w:r w:rsidRPr="00322507">
        <w:rPr>
          <w:b/>
        </w:rPr>
        <w:t>VETÁ-LO</w:t>
      </w:r>
      <w:proofErr w:type="gramEnd"/>
      <w:r w:rsidRPr="00322507">
        <w:rPr>
          <w:b/>
        </w:rPr>
        <w:t xml:space="preserve"> TOTALMENTE</w:t>
      </w:r>
      <w:r w:rsidR="00EC7D4D" w:rsidRPr="00051218">
        <w:rPr>
          <w:i/>
          <w:iCs/>
        </w:rPr>
        <w:t xml:space="preserve">, </w:t>
      </w:r>
      <w:r w:rsidR="00EC7D4D" w:rsidRPr="00051218">
        <w:t xml:space="preserve">fundado em razão de </w:t>
      </w:r>
      <w:r w:rsidR="005F09BE">
        <w:t>ilegalidade</w:t>
      </w:r>
      <w:r w:rsidR="00EC7D4D" w:rsidRPr="00051218">
        <w:t>.</w:t>
      </w:r>
    </w:p>
    <w:p w:rsidR="00D56E16" w:rsidRDefault="00D56E16" w:rsidP="00895B09">
      <w:pPr>
        <w:ind w:firstLine="2268"/>
        <w:jc w:val="both"/>
      </w:pPr>
    </w:p>
    <w:p w:rsidR="00EC7D4D" w:rsidRPr="00D52A79" w:rsidRDefault="00EC7D4D" w:rsidP="00EC7D4D">
      <w:pPr>
        <w:ind w:firstLine="2268"/>
        <w:jc w:val="both"/>
        <w:rPr>
          <w:i/>
          <w:iCs/>
        </w:rPr>
      </w:pPr>
      <w:r w:rsidRPr="7B66207B">
        <w:t xml:space="preserve">Primeiramente importa ressaltar que, embora o projeto de lei </w:t>
      </w:r>
      <w:r>
        <w:t xml:space="preserve">complementar </w:t>
      </w:r>
      <w:r w:rsidRPr="7B66207B">
        <w:t xml:space="preserve">em </w:t>
      </w:r>
      <w:r>
        <w:t>tela</w:t>
      </w:r>
      <w:r w:rsidRPr="7B66207B">
        <w:t xml:space="preserve"> tenha tido Parecer Regimental Favorável da Comissão de Legislação e Justiça – CLJ, </w:t>
      </w:r>
      <w:r w:rsidRPr="7B66207B">
        <w:rPr>
          <w:color w:val="000000"/>
        </w:rPr>
        <w:t>conclusivo de forma fundamentada pela legalidade, constitucionalidade e juridicidade,</w:t>
      </w:r>
      <w:r w:rsidRPr="7B66207B">
        <w:t xml:space="preserve"> sendo </w:t>
      </w:r>
      <w:proofErr w:type="gramStart"/>
      <w:r w:rsidRPr="7B66207B">
        <w:t>aprovado</w:t>
      </w:r>
      <w:proofErr w:type="gramEnd"/>
      <w:r w:rsidRPr="7B66207B">
        <w:t xml:space="preserve"> recentemente por unanimidade pelos nobres pares desta Douta Casa Legislativa, a proposição em comento fora apresentada em 2019, antes do início do período de vedação previsto no §10 do artigo 73 da Lei Federal nº 9.504/1997, motivo pelo qual fundamento as presentes razões de veto total, </w:t>
      </w:r>
      <w:r w:rsidRPr="7B66207B">
        <w:rPr>
          <w:i/>
          <w:iCs/>
        </w:rPr>
        <w:t xml:space="preserve">in </w:t>
      </w:r>
      <w:proofErr w:type="spellStart"/>
      <w:r w:rsidRPr="7B66207B">
        <w:rPr>
          <w:i/>
          <w:iCs/>
        </w:rPr>
        <w:t>verbis</w:t>
      </w:r>
      <w:proofErr w:type="spellEnd"/>
      <w:r w:rsidRPr="7B66207B">
        <w:rPr>
          <w:i/>
          <w:iCs/>
        </w:rPr>
        <w:t>:</w:t>
      </w:r>
    </w:p>
    <w:p w:rsidR="00EC7D4D" w:rsidRPr="00D52A79" w:rsidRDefault="00EC7D4D" w:rsidP="00EC7D4D">
      <w:pPr>
        <w:ind w:left="2835"/>
        <w:jc w:val="both"/>
        <w:rPr>
          <w:i/>
          <w:iCs/>
          <w:color w:val="000000"/>
        </w:rPr>
      </w:pPr>
    </w:p>
    <w:p w:rsidR="00EC7D4D" w:rsidRPr="00EC7D4D" w:rsidRDefault="00EC7D4D" w:rsidP="00EC7D4D">
      <w:pPr>
        <w:ind w:left="2835"/>
        <w:jc w:val="both"/>
        <w:rPr>
          <w:i/>
          <w:iCs/>
          <w:color w:val="000000"/>
          <w:sz w:val="22"/>
          <w:szCs w:val="22"/>
        </w:rPr>
      </w:pPr>
      <w:r w:rsidRPr="00EC7D4D">
        <w:rPr>
          <w:i/>
          <w:iCs/>
          <w:color w:val="000000"/>
          <w:sz w:val="22"/>
          <w:szCs w:val="22"/>
        </w:rPr>
        <w:t>Art. 73. São proibidas aos agentes públicos, servidores ou não, as seguintes condutas tendentes a afetar a igualdade de oportunidades entre candidatos nos pleitos eleitorais:</w:t>
      </w:r>
    </w:p>
    <w:p w:rsidR="00EC7D4D" w:rsidRPr="00EC7D4D" w:rsidRDefault="00EC7D4D" w:rsidP="00EC7D4D">
      <w:pPr>
        <w:ind w:left="2835"/>
        <w:jc w:val="both"/>
        <w:rPr>
          <w:i/>
          <w:iCs/>
          <w:color w:val="000000"/>
          <w:sz w:val="22"/>
          <w:szCs w:val="22"/>
        </w:rPr>
      </w:pPr>
      <w:r w:rsidRPr="00EC7D4D">
        <w:rPr>
          <w:i/>
          <w:iCs/>
          <w:color w:val="000000"/>
          <w:sz w:val="22"/>
          <w:szCs w:val="22"/>
        </w:rPr>
        <w:t>(...)</w:t>
      </w:r>
    </w:p>
    <w:p w:rsidR="00EC7D4D" w:rsidRPr="00EC7D4D" w:rsidRDefault="00EC7D4D" w:rsidP="00EC7D4D">
      <w:pPr>
        <w:ind w:left="2835"/>
        <w:jc w:val="both"/>
        <w:rPr>
          <w:i/>
          <w:iCs/>
          <w:color w:val="000000"/>
          <w:sz w:val="22"/>
          <w:szCs w:val="22"/>
        </w:rPr>
      </w:pPr>
      <w:r w:rsidRPr="00EC7D4D">
        <w:rPr>
          <w:i/>
          <w:iCs/>
          <w:color w:val="000000"/>
          <w:sz w:val="22"/>
          <w:szCs w:val="22"/>
        </w:rPr>
        <w:t>§ 10. No ano em que se realizar eleição, fica proibida a distribuição gratuita de bens, valores ou benefícios por parte da Administração Pública, exceto nos casos de calamidade pública, de estado de emergência ou de programas sociais autorizados em lei e já em execução orçamentária no exercício anterior, casos em que o Ministério Público poderá promover o acompanhamento de sua execução financeira e administrativa.</w:t>
      </w:r>
    </w:p>
    <w:p w:rsidR="00EC7D4D" w:rsidRPr="00D52A79" w:rsidRDefault="00EC7D4D" w:rsidP="00EC7D4D">
      <w:pPr>
        <w:ind w:firstLine="2268"/>
        <w:jc w:val="both"/>
      </w:pPr>
    </w:p>
    <w:p w:rsidR="00EC7D4D" w:rsidRPr="00D52A79" w:rsidRDefault="00EC7D4D" w:rsidP="0007000F">
      <w:pPr>
        <w:ind w:firstLine="2268"/>
        <w:jc w:val="both"/>
      </w:pPr>
      <w:r w:rsidRPr="202B891C">
        <w:rPr>
          <w:color w:val="000000"/>
        </w:rPr>
        <w:t>Embora a referida proposição tenha sido apresentada em 2019 para deliberação desta Douta Casa Legislativa</w:t>
      </w:r>
      <w:r w:rsidRPr="202B891C">
        <w:t>, não foi possível a conclusão do devido processo legislativo para sanção da norma naquele exercício, tornando-se agora ilegal e inoportuna, em razão do ano eleitoral, conforme demonstrado no Parecer nº 1160/2020, anexo, exarado pela Procuradoria Geral do Município sobre o tema, bem como jurisprudência correlata, vejamos:</w:t>
      </w:r>
    </w:p>
    <w:p w:rsidR="00EC7D4D" w:rsidRPr="0007000F" w:rsidRDefault="00EC7D4D" w:rsidP="00EC7D4D">
      <w:pPr>
        <w:ind w:left="2835"/>
        <w:jc w:val="both"/>
        <w:rPr>
          <w:sz w:val="22"/>
          <w:szCs w:val="22"/>
        </w:rPr>
      </w:pPr>
      <w:r w:rsidRPr="0007000F">
        <w:rPr>
          <w:sz w:val="22"/>
          <w:szCs w:val="22"/>
        </w:rPr>
        <w:lastRenderedPageBreak/>
        <w:t xml:space="preserve">“Recurso especial eleitoral. Ação de investigação judicial eleitoral. Abuso do poder político. Conduta vedada. Art. 73, § 10, da lei 9.504/97. Uso indevido dos meios de comunicação social. </w:t>
      </w:r>
      <w:proofErr w:type="gramStart"/>
      <w:r w:rsidRPr="0007000F">
        <w:rPr>
          <w:sz w:val="22"/>
          <w:szCs w:val="22"/>
        </w:rPr>
        <w:t>1</w:t>
      </w:r>
      <w:proofErr w:type="gramEnd"/>
      <w:r w:rsidRPr="0007000F">
        <w:rPr>
          <w:sz w:val="22"/>
          <w:szCs w:val="22"/>
        </w:rPr>
        <w:t xml:space="preserve">. </w:t>
      </w:r>
      <w:r w:rsidRPr="0007000F">
        <w:rPr>
          <w:sz w:val="22"/>
          <w:szCs w:val="22"/>
          <w:u w:val="single"/>
        </w:rPr>
        <w:t>Ficou configurada a prática da conduta vedada prevista no art. 73, § 10, da Lei 9.504/97 e de abuso do poder político, pois a sanção da Lei Municipal n° 2.617/2012, de iniciativa do então prefeito, em ano eleitoral, concedendo a isenção de ITBI a 272 famílias, sem estimativa orçamentária específica, foi suficiente, por si só, para gerar benefício aos moradores,</w:t>
      </w:r>
      <w:r w:rsidRPr="0007000F">
        <w:rPr>
          <w:sz w:val="22"/>
          <w:szCs w:val="22"/>
        </w:rPr>
        <w:t xml:space="preserve"> independentemente do registro das escrituras na matrícula dos imóveis.[...]”</w:t>
      </w:r>
    </w:p>
    <w:p w:rsidR="00EC7D4D" w:rsidRPr="0007000F" w:rsidRDefault="00EC7D4D" w:rsidP="00EC7D4D">
      <w:pPr>
        <w:ind w:left="2835"/>
        <w:jc w:val="both"/>
        <w:rPr>
          <w:sz w:val="22"/>
          <w:szCs w:val="22"/>
          <w:lang w:val="en-US"/>
        </w:rPr>
      </w:pPr>
      <w:r w:rsidRPr="0007000F">
        <w:rPr>
          <w:sz w:val="22"/>
          <w:szCs w:val="22"/>
        </w:rPr>
        <w:t>(</w:t>
      </w:r>
      <w:proofErr w:type="gramStart"/>
      <w:r w:rsidRPr="0007000F">
        <w:rPr>
          <w:sz w:val="22"/>
          <w:szCs w:val="22"/>
        </w:rPr>
        <w:t>Ac</w:t>
      </w:r>
      <w:proofErr w:type="gramEnd"/>
      <w:r w:rsidRPr="0007000F">
        <w:rPr>
          <w:sz w:val="22"/>
          <w:szCs w:val="22"/>
        </w:rPr>
        <w:t xml:space="preserve"> de 9.8.2018 no </w:t>
      </w:r>
      <w:proofErr w:type="spellStart"/>
      <w:r w:rsidRPr="0007000F">
        <w:rPr>
          <w:sz w:val="22"/>
          <w:szCs w:val="22"/>
        </w:rPr>
        <w:t>REspe</w:t>
      </w:r>
      <w:proofErr w:type="spellEnd"/>
      <w:r w:rsidRPr="0007000F">
        <w:rPr>
          <w:sz w:val="22"/>
          <w:szCs w:val="22"/>
        </w:rPr>
        <w:t xml:space="preserve"> 82203, rel. </w:t>
      </w:r>
      <w:r w:rsidRPr="0007000F">
        <w:rPr>
          <w:sz w:val="22"/>
          <w:szCs w:val="22"/>
          <w:lang w:val="en-US"/>
        </w:rPr>
        <w:t xml:space="preserve">Min. Herman Benjamin, red. </w:t>
      </w:r>
      <w:proofErr w:type="spellStart"/>
      <w:r w:rsidRPr="0007000F">
        <w:rPr>
          <w:sz w:val="22"/>
          <w:szCs w:val="22"/>
          <w:lang w:val="en-US"/>
        </w:rPr>
        <w:t>designado</w:t>
      </w:r>
      <w:proofErr w:type="spellEnd"/>
      <w:r w:rsidRPr="0007000F">
        <w:rPr>
          <w:sz w:val="22"/>
          <w:szCs w:val="22"/>
          <w:lang w:val="en-US"/>
        </w:rPr>
        <w:t xml:space="preserve"> Min. </w:t>
      </w:r>
      <w:proofErr w:type="spellStart"/>
      <w:r w:rsidRPr="0007000F">
        <w:rPr>
          <w:sz w:val="22"/>
          <w:szCs w:val="22"/>
          <w:lang w:val="en-US"/>
        </w:rPr>
        <w:t>Admar</w:t>
      </w:r>
      <w:proofErr w:type="spellEnd"/>
      <w:r w:rsidRPr="0007000F">
        <w:rPr>
          <w:sz w:val="22"/>
          <w:szCs w:val="22"/>
          <w:lang w:val="en-US"/>
        </w:rPr>
        <w:t xml:space="preserve"> Gonzaga)</w:t>
      </w:r>
    </w:p>
    <w:p w:rsidR="00EC7D4D" w:rsidRPr="0007000F" w:rsidRDefault="00EC7D4D" w:rsidP="00EC7D4D">
      <w:pPr>
        <w:ind w:left="2835" w:firstLine="2268"/>
        <w:jc w:val="both"/>
        <w:rPr>
          <w:color w:val="000000"/>
          <w:sz w:val="22"/>
          <w:szCs w:val="22"/>
          <w:lang w:val="en-US"/>
        </w:rPr>
      </w:pPr>
    </w:p>
    <w:p w:rsidR="00EC7D4D" w:rsidRPr="0007000F" w:rsidRDefault="00EC7D4D" w:rsidP="00EC7D4D">
      <w:pPr>
        <w:ind w:left="2835"/>
        <w:jc w:val="both"/>
        <w:rPr>
          <w:sz w:val="22"/>
          <w:szCs w:val="22"/>
        </w:rPr>
      </w:pPr>
      <w:r w:rsidRPr="0007000F">
        <w:rPr>
          <w:sz w:val="22"/>
          <w:szCs w:val="22"/>
        </w:rPr>
        <w:t xml:space="preserve">RECURSOS ELEITORAIS. ELEIÇÕES 2012. MÉRITO. CONDUTA VEDADA AOS AGENTES PUBLICOS EM CAMPANHA. INFRAÇÃO AO §10 DO ART. 73 DA LEI N. 9.504/97. CONCESSÃO DE BENEFÍCIOS FISCAIS EM ANO DE ELEICÃO. COMPROVAÇÃO. APLICAÇÃO DE MULTA. SUFICIÊNCIA. 1. "A norma do §10 do artigo 73 da Lei n° 9.504/1997 é obstáculo a ter-se, no ano das eleições, o </w:t>
      </w:r>
      <w:proofErr w:type="gramStart"/>
      <w:r w:rsidRPr="0007000F">
        <w:rPr>
          <w:sz w:val="22"/>
          <w:szCs w:val="22"/>
        </w:rPr>
        <w:t>implemento</w:t>
      </w:r>
      <w:proofErr w:type="gramEnd"/>
      <w:r w:rsidRPr="0007000F">
        <w:rPr>
          <w:sz w:val="22"/>
          <w:szCs w:val="22"/>
        </w:rPr>
        <w:t xml:space="preserve"> de benefício fiscal referente à dívida ativa do Município bem como o encaminhamento à Câmara de Vereadores de projeto de lei, no aludido período, objetivando a previsão normativa voltada a favorecer inadimplentes." (Consulta TSE n. 1531-69). 2. </w:t>
      </w:r>
      <w:r w:rsidRPr="0007000F">
        <w:rPr>
          <w:sz w:val="22"/>
          <w:szCs w:val="22"/>
          <w:u w:val="single"/>
        </w:rPr>
        <w:t>Para a configuração dos ilícitos previstos do art. 73 da Lei n. 9.504/97 não é obrigatória a caracterização da potencialidade lesiva dos atos e nem a influência destes no resultado da eleição, bastando, para a imposição da pena de multa, que esteja plenamente comprovada a efetivação do ato.</w:t>
      </w:r>
      <w:r w:rsidRPr="0007000F">
        <w:rPr>
          <w:sz w:val="22"/>
          <w:szCs w:val="22"/>
        </w:rPr>
        <w:t xml:space="preserve"> Somente para a aplicação da sanção mais gravosa de cassação e que se faz necessária a analise da potencialidade. 3. </w:t>
      </w:r>
      <w:r w:rsidRPr="0007000F">
        <w:rPr>
          <w:sz w:val="22"/>
          <w:szCs w:val="22"/>
          <w:u w:val="single"/>
        </w:rPr>
        <w:t xml:space="preserve">Não há duvida quanto </w:t>
      </w:r>
      <w:proofErr w:type="gramStart"/>
      <w:r w:rsidRPr="0007000F">
        <w:rPr>
          <w:sz w:val="22"/>
          <w:szCs w:val="22"/>
          <w:u w:val="single"/>
        </w:rPr>
        <w:t>a</w:t>
      </w:r>
      <w:proofErr w:type="gramEnd"/>
      <w:r w:rsidRPr="0007000F">
        <w:rPr>
          <w:sz w:val="22"/>
          <w:szCs w:val="22"/>
          <w:u w:val="single"/>
        </w:rPr>
        <w:t xml:space="preserve"> configuração da conduta vedada consistente na promulgação de lei que confere benefícios fiscais no ano em que se realizaram eleições municipais, em desatenção ao disposto no §10 do art. 73 da Lei n. 9.504/97, uma vez que não restou comprovada nenhuma das ressalvas ali constantes.</w:t>
      </w:r>
      <w:r w:rsidRPr="0007000F">
        <w:rPr>
          <w:sz w:val="22"/>
          <w:szCs w:val="22"/>
        </w:rPr>
        <w:t xml:space="preserve"> 4. Recursos eleitorais conhecidos, para desprover o primeiro e dar provimento em parte ao segundo. (RECURSO ELEITORAL nº 12084, Acórdão nº 13986 de 23/09/2013, </w:t>
      </w:r>
      <w:proofErr w:type="gramStart"/>
      <w:r w:rsidRPr="0007000F">
        <w:rPr>
          <w:sz w:val="22"/>
          <w:szCs w:val="22"/>
        </w:rPr>
        <w:t>Relator(</w:t>
      </w:r>
      <w:proofErr w:type="gramEnd"/>
      <w:r w:rsidRPr="0007000F">
        <w:rPr>
          <w:sz w:val="22"/>
          <w:szCs w:val="22"/>
        </w:rPr>
        <w:t>a) LUCIANO MTANIOS HANNA, Publicação: DJ - Diário de justiça, Volume 1, Tomo 189, Data 27/09/2013, Página 2/3)</w:t>
      </w:r>
    </w:p>
    <w:p w:rsidR="00EC7D4D" w:rsidRPr="00D52A79" w:rsidRDefault="00EC7D4D" w:rsidP="00EC7D4D">
      <w:pPr>
        <w:jc w:val="both"/>
        <w:rPr>
          <w:color w:val="000000"/>
        </w:rPr>
      </w:pPr>
    </w:p>
    <w:p w:rsidR="00EC7D4D" w:rsidRPr="00D52A79" w:rsidRDefault="00EC7D4D" w:rsidP="00EC7D4D">
      <w:pPr>
        <w:ind w:firstLine="2268"/>
        <w:jc w:val="both"/>
        <w:rPr>
          <w:rFonts w:ascii="Calibri" w:eastAsia="Calibri" w:hAnsi="Calibri" w:cs="Calibri"/>
          <w:color w:val="000000"/>
          <w:sz w:val="22"/>
          <w:szCs w:val="22"/>
        </w:rPr>
      </w:pPr>
      <w:r w:rsidRPr="7F882634">
        <w:rPr>
          <w:color w:val="000000"/>
        </w:rPr>
        <w:t xml:space="preserve">Cumpre esclarecer que o referido Parecer da Procuradoria Geral </w:t>
      </w:r>
      <w:r>
        <w:rPr>
          <w:color w:val="000000"/>
        </w:rPr>
        <w:t>do Município trata da análise de</w:t>
      </w:r>
      <w:r w:rsidRPr="7F882634">
        <w:rPr>
          <w:color w:val="000000"/>
        </w:rPr>
        <w:t xml:space="preserve"> proposições que tem por objeto a concessão de benefícios fiscais em ano eleitoral, o qual fundamentou o veto da presente proposição, uma vez que conclui que, em razão do presente ano eleitoral, não existe a possibilidade de serem propostas ou aprovadas </w:t>
      </w:r>
      <w:r>
        <w:rPr>
          <w:color w:val="000000"/>
        </w:rPr>
        <w:t xml:space="preserve">medidas legislativas que visem </w:t>
      </w:r>
      <w:r w:rsidRPr="7F882634">
        <w:rPr>
          <w:color w:val="000000"/>
        </w:rPr>
        <w:t>à concessão de benefícios fiscais por parte da Administração Pública, no ano de 2020, quando se realizarão eleições municipais.</w:t>
      </w:r>
    </w:p>
    <w:p w:rsidR="0007000F" w:rsidRPr="00D52A79" w:rsidRDefault="0007000F" w:rsidP="00EC7D4D">
      <w:pPr>
        <w:ind w:firstLine="2268"/>
        <w:jc w:val="both"/>
        <w:rPr>
          <w:color w:val="000000"/>
        </w:rPr>
      </w:pPr>
    </w:p>
    <w:p w:rsidR="00EC7D4D" w:rsidRPr="00D52A79" w:rsidRDefault="00EC7D4D" w:rsidP="00EC7D4D">
      <w:pPr>
        <w:ind w:firstLine="2268"/>
        <w:jc w:val="both"/>
        <w:rPr>
          <w:color w:val="000000"/>
        </w:rPr>
      </w:pPr>
      <w:r w:rsidRPr="7B66207B">
        <w:rPr>
          <w:color w:val="000000"/>
        </w:rPr>
        <w:t xml:space="preserve">Portanto, neste momento, é imprescindível observar as limitações incidentes sobre a atividade legislativa e as cautelas a serem adotadas de </w:t>
      </w:r>
      <w:r w:rsidRPr="7B66207B">
        <w:rPr>
          <w:color w:val="000000"/>
        </w:rPr>
        <w:lastRenderedPageBreak/>
        <w:t>forma a evitar possíveis irregularidades ou ilegalidades na tramitação e aprovação dos diversos projetos de lei desta Casa, tendo-se em vista que neste ano de 2020 serão realizadas eleições municipais e a legislação vigente estabelece limitações às atividades dos Agentes Públicos, dentre os quais se inserem os det</w:t>
      </w:r>
      <w:r>
        <w:rPr>
          <w:color w:val="000000"/>
        </w:rPr>
        <w:t>entores de mandato eletivo (artigo</w:t>
      </w:r>
      <w:r w:rsidRPr="7B66207B">
        <w:rPr>
          <w:color w:val="000000"/>
        </w:rPr>
        <w:t xml:space="preserve"> 73, § 1º, da Lei Federal nº 9.504/1997, com a redação conferida pela Lei Federal nº 11.300/2006). </w:t>
      </w:r>
    </w:p>
    <w:p w:rsidR="00EC7D4D" w:rsidRPr="00D52A79" w:rsidRDefault="00EC7D4D" w:rsidP="00EC7D4D">
      <w:pPr>
        <w:ind w:firstLine="2268"/>
        <w:jc w:val="both"/>
        <w:rPr>
          <w:color w:val="000000"/>
        </w:rPr>
      </w:pPr>
    </w:p>
    <w:p w:rsidR="00EC7D4D" w:rsidRDefault="00EC7D4D" w:rsidP="00EC7D4D">
      <w:pPr>
        <w:ind w:firstLine="2268"/>
        <w:jc w:val="both"/>
        <w:rPr>
          <w:color w:val="000000"/>
        </w:rPr>
      </w:pPr>
      <w:r w:rsidRPr="7B66207B">
        <w:rPr>
          <w:color w:val="000000"/>
        </w:rPr>
        <w:t>Diante de todo o exposto, conclui-se, com base na redação do art. 73, § 10 da Lei Federal nº 9.504/</w:t>
      </w:r>
      <w:r>
        <w:rPr>
          <w:color w:val="000000"/>
        </w:rPr>
        <w:t>19</w:t>
      </w:r>
      <w:r w:rsidRPr="7B66207B">
        <w:rPr>
          <w:color w:val="000000"/>
        </w:rPr>
        <w:t xml:space="preserve">97, que a interpretação que se atribui ao dispositivo é ampla e que no ano eleitoral não podem ser propostas ou aprovadas medidas legislativas que visem à </w:t>
      </w:r>
      <w:proofErr w:type="gramStart"/>
      <w:r w:rsidRPr="7B66207B">
        <w:rPr>
          <w:color w:val="000000"/>
        </w:rPr>
        <w:t>implementação</w:t>
      </w:r>
      <w:proofErr w:type="gramEnd"/>
      <w:r w:rsidRPr="7B66207B">
        <w:rPr>
          <w:color w:val="000000"/>
        </w:rPr>
        <w:t xml:space="preserve"> de novos benefícios, ressalvada a continuidade daqueles autorizados em lei e já em execução orçamentária no exercício anterior, casos em que o Ministério Público poderá promover o acompanhamento de sua execução financeira e administrativa. </w:t>
      </w:r>
    </w:p>
    <w:p w:rsidR="00EC7D4D" w:rsidRPr="00D52A79" w:rsidRDefault="00EC7D4D" w:rsidP="00EC7D4D">
      <w:pPr>
        <w:ind w:firstLine="2268"/>
        <w:jc w:val="both"/>
        <w:rPr>
          <w:color w:val="000000"/>
        </w:rPr>
      </w:pPr>
    </w:p>
    <w:p w:rsidR="00EC7D4D" w:rsidRDefault="005F09BE" w:rsidP="00EC7D4D">
      <w:pPr>
        <w:ind w:firstLine="2268"/>
        <w:jc w:val="both"/>
      </w:pPr>
      <w:r>
        <w:rPr>
          <w:color w:val="000000"/>
        </w:rPr>
        <w:t>Nesse sentido</w:t>
      </w:r>
      <w:r w:rsidR="00EC7D4D" w:rsidRPr="202B891C">
        <w:rPr>
          <w:color w:val="000000"/>
        </w:rPr>
        <w:t>, o momento exige cautela, a fim de evitar eventuais irregularidades na tramitação e aprovação de projetos de lei que possam representar ofensa a legislação eleitoral.</w:t>
      </w:r>
    </w:p>
    <w:p w:rsidR="00EC7D4D" w:rsidRDefault="00EC7D4D" w:rsidP="00EC7D4D">
      <w:pPr>
        <w:ind w:firstLine="2268"/>
        <w:jc w:val="both"/>
        <w:rPr>
          <w:color w:val="000000"/>
        </w:rPr>
      </w:pPr>
    </w:p>
    <w:p w:rsidR="00EC7D4D" w:rsidRDefault="00EC7D4D" w:rsidP="00EC7D4D">
      <w:pPr>
        <w:ind w:firstLine="2268"/>
        <w:jc w:val="both"/>
        <w:rPr>
          <w:color w:val="000000"/>
        </w:rPr>
      </w:pPr>
      <w:r w:rsidRPr="202B891C">
        <w:rPr>
          <w:color w:val="000000"/>
        </w:rPr>
        <w:t xml:space="preserve">Assim sendo, por se tratar de proposição que visa </w:t>
      </w:r>
      <w:r w:rsidR="000F5D2A">
        <w:rPr>
          <w:color w:val="000000"/>
        </w:rPr>
        <w:t xml:space="preserve">propor alterações relevantes na Lei Complementar n° 226/2019, principalmente quanto </w:t>
      </w:r>
      <w:proofErr w:type="gramStart"/>
      <w:r w:rsidR="000F5D2A" w:rsidRPr="00157EE7">
        <w:rPr>
          <w:rFonts w:cs="Times New Roman"/>
        </w:rPr>
        <w:t>a</w:t>
      </w:r>
      <w:proofErr w:type="gramEnd"/>
      <w:r w:rsidR="000F5D2A" w:rsidRPr="00157EE7">
        <w:rPr>
          <w:rFonts w:cs="Times New Roman"/>
        </w:rPr>
        <w:t xml:space="preserve"> correção dos parâmetros para cálculo do percentual de área permeável nas edificações construídas com ou sem licença até o dia 31/12/2017</w:t>
      </w:r>
      <w:r w:rsidRPr="202B891C">
        <w:rPr>
          <w:color w:val="000000"/>
        </w:rPr>
        <w:t>, esta matéria poderá ser reapresentada para apreciação desta Casa no momento oportuno.</w:t>
      </w:r>
    </w:p>
    <w:p w:rsidR="00EC7D4D" w:rsidRPr="00D52A79" w:rsidRDefault="00EC7D4D" w:rsidP="00EC7D4D">
      <w:pPr>
        <w:ind w:firstLine="2268"/>
        <w:jc w:val="both"/>
      </w:pPr>
    </w:p>
    <w:p w:rsidR="00EC7D4D" w:rsidRPr="00D52A79" w:rsidRDefault="00EC7D4D" w:rsidP="00EC7D4D">
      <w:pPr>
        <w:ind w:firstLine="2268"/>
        <w:jc w:val="both"/>
      </w:pPr>
      <w:r w:rsidRPr="7B66207B">
        <w:t xml:space="preserve">Desta forma é que, ante as razões retro expendidas, por ser </w:t>
      </w:r>
      <w:r w:rsidR="00801DDD">
        <w:t>a referida</w:t>
      </w:r>
      <w:r w:rsidRPr="7B66207B">
        <w:t xml:space="preserve"> </w:t>
      </w:r>
      <w:r w:rsidR="00801DDD">
        <w:t>proposição</w:t>
      </w:r>
      <w:r w:rsidRPr="7B66207B">
        <w:t xml:space="preserve"> </w:t>
      </w:r>
      <w:r w:rsidR="00C305D9">
        <w:t>ilegal</w:t>
      </w:r>
      <w:r w:rsidRPr="7B66207B">
        <w:t xml:space="preserve">, é que apresento o presente </w:t>
      </w:r>
      <w:r w:rsidRPr="7B66207B">
        <w:rPr>
          <w:b/>
          <w:bCs/>
        </w:rPr>
        <w:t>VETO TOTAL</w:t>
      </w:r>
      <w:r w:rsidRPr="7B66207B">
        <w:t xml:space="preserve"> e submeto à elevada apreciação desta Casa Legislativa, esperando sejam as ditas razões acatadas.</w:t>
      </w:r>
    </w:p>
    <w:p w:rsidR="00EC7D4D" w:rsidRPr="00D52A79" w:rsidRDefault="00EC7D4D" w:rsidP="00EC7D4D">
      <w:pPr>
        <w:pStyle w:val="Rodap"/>
        <w:tabs>
          <w:tab w:val="clear" w:pos="4419"/>
          <w:tab w:val="clear" w:pos="8838"/>
          <w:tab w:val="left" w:pos="1440"/>
        </w:tabs>
        <w:ind w:firstLine="2268"/>
        <w:jc w:val="both"/>
        <w:rPr>
          <w:rFonts w:cs="Times New Roman"/>
        </w:rPr>
      </w:pPr>
    </w:p>
    <w:p w:rsidR="00EC7D4D" w:rsidRDefault="00EC7D4D" w:rsidP="00EC7D4D">
      <w:pPr>
        <w:pStyle w:val="Rodap"/>
        <w:tabs>
          <w:tab w:val="clear" w:pos="4419"/>
          <w:tab w:val="clear" w:pos="8838"/>
          <w:tab w:val="left" w:pos="1440"/>
        </w:tabs>
        <w:ind w:firstLine="2268"/>
        <w:jc w:val="both"/>
        <w:rPr>
          <w:rFonts w:cs="Times New Roman"/>
        </w:rPr>
      </w:pPr>
      <w:r w:rsidRPr="7B66207B">
        <w:rPr>
          <w:rFonts w:cs="Times New Roman"/>
        </w:rPr>
        <w:t>Prefeit</w:t>
      </w:r>
      <w:r>
        <w:rPr>
          <w:rFonts w:cs="Times New Roman"/>
        </w:rPr>
        <w:t xml:space="preserve">ura Municipal de Sete Lagoas, </w:t>
      </w:r>
      <w:r w:rsidR="000F5D2A">
        <w:rPr>
          <w:rFonts w:cs="Times New Roman"/>
        </w:rPr>
        <w:t>29 de setembro</w:t>
      </w:r>
      <w:r w:rsidRPr="7B66207B">
        <w:rPr>
          <w:rFonts w:cs="Times New Roman"/>
        </w:rPr>
        <w:t xml:space="preserve"> de 2020.</w:t>
      </w:r>
    </w:p>
    <w:p w:rsidR="00EC7D4D" w:rsidRDefault="00EC7D4D" w:rsidP="00EC7D4D">
      <w:pPr>
        <w:ind w:firstLine="2268"/>
        <w:jc w:val="both"/>
        <w:rPr>
          <w:b/>
        </w:rPr>
      </w:pPr>
      <w:bookmarkStart w:id="0" w:name="_GoBack"/>
      <w:bookmarkEnd w:id="0"/>
    </w:p>
    <w:p w:rsidR="00EC7D4D" w:rsidRDefault="00EC7D4D" w:rsidP="00EC7D4D">
      <w:pPr>
        <w:ind w:firstLine="2268"/>
        <w:jc w:val="both"/>
        <w:rPr>
          <w:b/>
        </w:rPr>
      </w:pPr>
    </w:p>
    <w:p w:rsidR="00EC7D4D" w:rsidRPr="008B56E6" w:rsidRDefault="00EC7D4D" w:rsidP="00EC7D4D">
      <w:pPr>
        <w:ind w:firstLine="2268"/>
        <w:jc w:val="both"/>
        <w:rPr>
          <w:b/>
        </w:rPr>
      </w:pPr>
      <w:r w:rsidRPr="008B56E6">
        <w:rPr>
          <w:b/>
        </w:rPr>
        <w:t>DUÍLIO DE CASTRO FARIA</w:t>
      </w:r>
    </w:p>
    <w:p w:rsidR="00EC7D4D" w:rsidRPr="00D52A79" w:rsidRDefault="00EC7D4D" w:rsidP="00EC7D4D">
      <w:pPr>
        <w:ind w:firstLine="2268"/>
        <w:jc w:val="both"/>
      </w:pPr>
      <w:r w:rsidRPr="008B56E6">
        <w:t>Prefeito Municipal</w:t>
      </w:r>
    </w:p>
    <w:p w:rsidR="00D56E16" w:rsidRPr="00322507" w:rsidRDefault="00D56E16" w:rsidP="00EC7D4D">
      <w:pPr>
        <w:ind w:firstLine="2268"/>
        <w:jc w:val="both"/>
      </w:pPr>
    </w:p>
    <w:sectPr w:rsidR="00D56E16" w:rsidRPr="00322507" w:rsidSect="00574D35">
      <w:footerReference w:type="default" r:id="rId7"/>
      <w:pgSz w:w="11906" w:h="16838"/>
      <w:pgMar w:top="1417" w:right="1701" w:bottom="1417" w:left="1701"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00F" w:rsidRDefault="0007000F" w:rsidP="000866F0">
      <w:r>
        <w:separator/>
      </w:r>
    </w:p>
  </w:endnote>
  <w:endnote w:type="continuationSeparator" w:id="1">
    <w:p w:rsidR="0007000F" w:rsidRDefault="0007000F" w:rsidP="000866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游ゴシック Light">
    <w:altName w:val="MS PMincho"/>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3719077"/>
      <w:docPartObj>
        <w:docPartGallery w:val="Page Numbers (Bottom of Page)"/>
        <w:docPartUnique/>
      </w:docPartObj>
    </w:sdtPr>
    <w:sdtContent>
      <w:p w:rsidR="0007000F" w:rsidRDefault="00DD5082">
        <w:pPr>
          <w:pStyle w:val="Rodap"/>
          <w:jc w:val="right"/>
        </w:pPr>
        <w:r>
          <w:fldChar w:fldCharType="begin"/>
        </w:r>
        <w:r w:rsidR="0007000F">
          <w:instrText>PAGE   \* MERGEFORMAT</w:instrText>
        </w:r>
        <w:r>
          <w:fldChar w:fldCharType="separate"/>
        </w:r>
        <w:r w:rsidR="00801DDD">
          <w:rPr>
            <w:noProof/>
          </w:rPr>
          <w:t>3</w:t>
        </w:r>
        <w:r>
          <w:rPr>
            <w:noProof/>
          </w:rPr>
          <w:fldChar w:fldCharType="end"/>
        </w:r>
      </w:p>
    </w:sdtContent>
  </w:sdt>
  <w:p w:rsidR="0007000F" w:rsidRDefault="0007000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00F" w:rsidRDefault="0007000F" w:rsidP="000866F0">
      <w:r>
        <w:separator/>
      </w:r>
    </w:p>
  </w:footnote>
  <w:footnote w:type="continuationSeparator" w:id="1">
    <w:p w:rsidR="0007000F" w:rsidRDefault="0007000F" w:rsidP="000866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123A54"/>
    <w:rsid w:val="000520B6"/>
    <w:rsid w:val="0007000F"/>
    <w:rsid w:val="000866F0"/>
    <w:rsid w:val="000B24BD"/>
    <w:rsid w:val="000B6274"/>
    <w:rsid w:val="000C195A"/>
    <w:rsid w:val="000F4984"/>
    <w:rsid w:val="000F5D2A"/>
    <w:rsid w:val="00123A54"/>
    <w:rsid w:val="00127484"/>
    <w:rsid w:val="001471CC"/>
    <w:rsid w:val="00302E86"/>
    <w:rsid w:val="00322507"/>
    <w:rsid w:val="00351D31"/>
    <w:rsid w:val="00366E05"/>
    <w:rsid w:val="004132DB"/>
    <w:rsid w:val="00457D75"/>
    <w:rsid w:val="00492D03"/>
    <w:rsid w:val="004C1F15"/>
    <w:rsid w:val="00515E1B"/>
    <w:rsid w:val="0054794C"/>
    <w:rsid w:val="00570F7D"/>
    <w:rsid w:val="00574D35"/>
    <w:rsid w:val="005F09BE"/>
    <w:rsid w:val="006135F3"/>
    <w:rsid w:val="00650C95"/>
    <w:rsid w:val="007846B5"/>
    <w:rsid w:val="00801DDD"/>
    <w:rsid w:val="008502F1"/>
    <w:rsid w:val="00895B09"/>
    <w:rsid w:val="00944A5F"/>
    <w:rsid w:val="009474B5"/>
    <w:rsid w:val="009B3EBA"/>
    <w:rsid w:val="00AB13C6"/>
    <w:rsid w:val="00AC6BF0"/>
    <w:rsid w:val="00AE7EF1"/>
    <w:rsid w:val="00AF5A4F"/>
    <w:rsid w:val="00B65D56"/>
    <w:rsid w:val="00BD4DEF"/>
    <w:rsid w:val="00BF2B84"/>
    <w:rsid w:val="00C305D9"/>
    <w:rsid w:val="00C33EBC"/>
    <w:rsid w:val="00C6482D"/>
    <w:rsid w:val="00C940EF"/>
    <w:rsid w:val="00CC4885"/>
    <w:rsid w:val="00CD25BC"/>
    <w:rsid w:val="00CE25F2"/>
    <w:rsid w:val="00D3462B"/>
    <w:rsid w:val="00D56E16"/>
    <w:rsid w:val="00DA7F96"/>
    <w:rsid w:val="00DB3FB8"/>
    <w:rsid w:val="00DD5082"/>
    <w:rsid w:val="00EB41B5"/>
    <w:rsid w:val="00EB6928"/>
    <w:rsid w:val="00EC7D4D"/>
    <w:rsid w:val="00ED40B3"/>
    <w:rsid w:val="00EE736B"/>
    <w:rsid w:val="00EF1FBD"/>
    <w:rsid w:val="00F233BC"/>
    <w:rsid w:val="00F45197"/>
    <w:rsid w:val="00F47503"/>
    <w:rsid w:val="00FF74E1"/>
    <w:rsid w:val="33F73A4A"/>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503"/>
    <w:pPr>
      <w:widowControl w:val="0"/>
      <w:suppressAutoHyphens/>
    </w:pPr>
    <w:rPr>
      <w:rFonts w:eastAsia="Lucida Sans Unicode" w:cs="Tahoma"/>
      <w:sz w:val="24"/>
      <w:szCs w:val="24"/>
      <w:lang w:eastAsia="ar-SA"/>
    </w:rPr>
  </w:style>
  <w:style w:type="paragraph" w:styleId="Ttulo2">
    <w:name w:val="heading 2"/>
    <w:basedOn w:val="Normal"/>
    <w:next w:val="Normal"/>
    <w:link w:val="Ttulo2Char"/>
    <w:uiPriority w:val="9"/>
    <w:semiHidden/>
    <w:unhideWhenUsed/>
    <w:qFormat/>
    <w:rsid w:val="00BD4DEF"/>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F47503"/>
  </w:style>
  <w:style w:type="paragraph" w:styleId="Corpodetexto">
    <w:name w:val="Body Text"/>
    <w:basedOn w:val="Normal"/>
    <w:rsid w:val="00F47503"/>
    <w:pPr>
      <w:spacing w:after="120"/>
    </w:pPr>
  </w:style>
  <w:style w:type="paragraph" w:customStyle="1" w:styleId="Ttulo1">
    <w:name w:val="Título1"/>
    <w:basedOn w:val="Normal"/>
    <w:next w:val="Corpodetexto"/>
    <w:rsid w:val="00F47503"/>
    <w:pPr>
      <w:keepNext/>
      <w:spacing w:before="240" w:after="120"/>
    </w:pPr>
    <w:rPr>
      <w:rFonts w:ascii="Arial" w:hAnsi="Arial"/>
      <w:sz w:val="28"/>
      <w:szCs w:val="28"/>
    </w:rPr>
  </w:style>
  <w:style w:type="paragraph" w:styleId="Ttulo">
    <w:name w:val="Title"/>
    <w:basedOn w:val="Ttulo1"/>
    <w:next w:val="Subttulo"/>
    <w:qFormat/>
    <w:rsid w:val="00F47503"/>
  </w:style>
  <w:style w:type="paragraph" w:styleId="Subttulo">
    <w:name w:val="Subtitle"/>
    <w:basedOn w:val="Ttulo1"/>
    <w:next w:val="Corpodetexto"/>
    <w:qFormat/>
    <w:rsid w:val="00F47503"/>
    <w:pPr>
      <w:jc w:val="center"/>
    </w:pPr>
    <w:rPr>
      <w:i/>
      <w:iCs/>
    </w:rPr>
  </w:style>
  <w:style w:type="paragraph" w:styleId="Lista">
    <w:name w:val="List"/>
    <w:basedOn w:val="Corpodetexto"/>
    <w:rsid w:val="00F47503"/>
  </w:style>
  <w:style w:type="paragraph" w:styleId="Rodap">
    <w:name w:val="footer"/>
    <w:basedOn w:val="Normal"/>
    <w:link w:val="RodapChar"/>
    <w:uiPriority w:val="99"/>
    <w:rsid w:val="00F47503"/>
    <w:pPr>
      <w:tabs>
        <w:tab w:val="center" w:pos="4419"/>
        <w:tab w:val="right" w:pos="8838"/>
      </w:tabs>
    </w:pPr>
  </w:style>
  <w:style w:type="paragraph" w:customStyle="1" w:styleId="Contedodetabela">
    <w:name w:val="Conteúdo de tabela"/>
    <w:basedOn w:val="Normal"/>
    <w:rsid w:val="00F47503"/>
    <w:pPr>
      <w:suppressLineNumbers/>
    </w:pPr>
  </w:style>
  <w:style w:type="paragraph" w:customStyle="1" w:styleId="Ttulodetabela">
    <w:name w:val="Título de tabela"/>
    <w:basedOn w:val="Contedodetabela"/>
    <w:rsid w:val="00F47503"/>
    <w:pPr>
      <w:jc w:val="center"/>
    </w:pPr>
    <w:rPr>
      <w:b/>
      <w:bCs/>
    </w:rPr>
  </w:style>
  <w:style w:type="paragraph" w:customStyle="1" w:styleId="Legenda1">
    <w:name w:val="Legenda1"/>
    <w:basedOn w:val="Normal"/>
    <w:rsid w:val="00F47503"/>
    <w:pPr>
      <w:suppressLineNumbers/>
      <w:spacing w:before="120" w:after="120"/>
    </w:pPr>
    <w:rPr>
      <w:i/>
      <w:iCs/>
    </w:rPr>
  </w:style>
  <w:style w:type="paragraph" w:customStyle="1" w:styleId="ndice">
    <w:name w:val="Índice"/>
    <w:basedOn w:val="Normal"/>
    <w:rsid w:val="00F47503"/>
    <w:pPr>
      <w:suppressLineNumbers/>
    </w:pPr>
  </w:style>
  <w:style w:type="character" w:customStyle="1" w:styleId="RodapChar">
    <w:name w:val="Rodapé Char"/>
    <w:link w:val="Rodap"/>
    <w:uiPriority w:val="99"/>
    <w:rsid w:val="00BF2B84"/>
    <w:rPr>
      <w:rFonts w:eastAsia="Lucida Sans Unicode" w:cs="Tahoma"/>
      <w:sz w:val="24"/>
      <w:szCs w:val="24"/>
      <w:lang w:eastAsia="ar-SA"/>
    </w:rPr>
  </w:style>
  <w:style w:type="character" w:customStyle="1" w:styleId="Ttulo2Char">
    <w:name w:val="Título 2 Char"/>
    <w:basedOn w:val="Fontepargpadro"/>
    <w:link w:val="Ttulo2"/>
    <w:uiPriority w:val="9"/>
    <w:semiHidden/>
    <w:rsid w:val="00BD4DEF"/>
    <w:rPr>
      <w:rFonts w:asciiTheme="majorHAnsi" w:eastAsiaTheme="majorEastAsia" w:hAnsiTheme="majorHAnsi" w:cstheme="majorBidi"/>
      <w:b/>
      <w:bCs/>
      <w:color w:val="4472C4" w:themeColor="accent1"/>
      <w:sz w:val="26"/>
      <w:szCs w:val="26"/>
      <w:lang w:eastAsia="ar-SA"/>
    </w:rPr>
  </w:style>
  <w:style w:type="paragraph" w:styleId="Cabealho">
    <w:name w:val="header"/>
    <w:basedOn w:val="Normal"/>
    <w:link w:val="CabealhoChar"/>
    <w:uiPriority w:val="99"/>
    <w:unhideWhenUsed/>
    <w:rsid w:val="000866F0"/>
    <w:pPr>
      <w:tabs>
        <w:tab w:val="center" w:pos="4252"/>
        <w:tab w:val="right" w:pos="8504"/>
      </w:tabs>
    </w:pPr>
  </w:style>
  <w:style w:type="character" w:customStyle="1" w:styleId="CabealhoChar">
    <w:name w:val="Cabeçalho Char"/>
    <w:basedOn w:val="Fontepargpadro"/>
    <w:link w:val="Cabealho"/>
    <w:uiPriority w:val="99"/>
    <w:rsid w:val="000866F0"/>
    <w:rPr>
      <w:rFonts w:eastAsia="Lucida Sans Unicode" w:cs="Tahoma"/>
      <w:sz w:val="24"/>
      <w:szCs w:val="24"/>
      <w:lang w:eastAsia="ar-SA"/>
    </w:rPr>
  </w:style>
  <w:style w:type="character" w:styleId="Hyperlink">
    <w:name w:val="Hyperlink"/>
    <w:basedOn w:val="Fontepargpadro"/>
    <w:uiPriority w:val="99"/>
    <w:unhideWhenUsed/>
    <w:rsid w:val="00650C95"/>
    <w:rPr>
      <w:color w:val="0563C1" w:themeColor="hyperlink"/>
      <w:u w:val="single"/>
    </w:rPr>
  </w:style>
  <w:style w:type="paragraph" w:styleId="NormalWeb">
    <w:name w:val="Normal (Web)"/>
    <w:basedOn w:val="Normal"/>
    <w:uiPriority w:val="99"/>
    <w:semiHidden/>
    <w:unhideWhenUsed/>
    <w:rsid w:val="00EC7D4D"/>
    <w:pPr>
      <w:widowControl/>
      <w:suppressAutoHyphens w:val="0"/>
      <w:spacing w:before="100" w:beforeAutospacing="1" w:after="100" w:afterAutospacing="1"/>
    </w:pPr>
    <w:rPr>
      <w:rFonts w:eastAsia="Times New Roman" w:cs="Times New Roman"/>
      <w:lang w:eastAsia="pt-BR"/>
    </w:rPr>
  </w:style>
  <w:style w:type="paragraph" w:styleId="SemEspaamento">
    <w:name w:val="No Spacing"/>
    <w:uiPriority w:val="1"/>
    <w:qFormat/>
    <w:rsid w:val="00EC7D4D"/>
    <w:rPr>
      <w:rFonts w:ascii="Calibri" w:hAnsi="Calibri"/>
      <w:sz w:val="22"/>
      <w:szCs w:val="22"/>
      <w:lang w:eastAsia="pt-BR"/>
    </w:rPr>
  </w:style>
  <w:style w:type="character" w:customStyle="1" w:styleId="highlight">
    <w:name w:val="highlight"/>
    <w:basedOn w:val="Fontepargpadro"/>
    <w:rsid w:val="00EC7D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503"/>
    <w:pPr>
      <w:widowControl w:val="0"/>
      <w:suppressAutoHyphens/>
    </w:pPr>
    <w:rPr>
      <w:rFonts w:eastAsia="Lucida Sans Unicode" w:cs="Tahoma"/>
      <w:sz w:val="24"/>
      <w:szCs w:val="24"/>
      <w:lang w:eastAsia="ar-SA"/>
    </w:rPr>
  </w:style>
  <w:style w:type="paragraph" w:styleId="Ttulo2">
    <w:name w:val="heading 2"/>
    <w:basedOn w:val="Normal"/>
    <w:next w:val="Normal"/>
    <w:link w:val="Ttulo2Char"/>
    <w:uiPriority w:val="9"/>
    <w:semiHidden/>
    <w:unhideWhenUsed/>
    <w:qFormat/>
    <w:rsid w:val="00BD4DEF"/>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F47503"/>
  </w:style>
  <w:style w:type="paragraph" w:styleId="Corpodetexto">
    <w:name w:val="Body Text"/>
    <w:basedOn w:val="Normal"/>
    <w:rsid w:val="00F47503"/>
    <w:pPr>
      <w:spacing w:after="120"/>
    </w:pPr>
  </w:style>
  <w:style w:type="paragraph" w:customStyle="1" w:styleId="Ttulo1">
    <w:name w:val="Título1"/>
    <w:basedOn w:val="Normal"/>
    <w:next w:val="Corpodetexto"/>
    <w:rsid w:val="00F47503"/>
    <w:pPr>
      <w:keepNext/>
      <w:spacing w:before="240" w:after="120"/>
    </w:pPr>
    <w:rPr>
      <w:rFonts w:ascii="Arial" w:hAnsi="Arial"/>
      <w:sz w:val="28"/>
      <w:szCs w:val="28"/>
    </w:rPr>
  </w:style>
  <w:style w:type="paragraph" w:styleId="Ttulo">
    <w:name w:val="Title"/>
    <w:basedOn w:val="Ttulo1"/>
    <w:next w:val="Subttulo"/>
    <w:qFormat/>
    <w:rsid w:val="00F47503"/>
  </w:style>
  <w:style w:type="paragraph" w:styleId="Subttulo">
    <w:name w:val="Subtitle"/>
    <w:basedOn w:val="Ttulo1"/>
    <w:next w:val="Corpodetexto"/>
    <w:qFormat/>
    <w:rsid w:val="00F47503"/>
    <w:pPr>
      <w:jc w:val="center"/>
    </w:pPr>
    <w:rPr>
      <w:i/>
      <w:iCs/>
    </w:rPr>
  </w:style>
  <w:style w:type="paragraph" w:styleId="Lista">
    <w:name w:val="List"/>
    <w:basedOn w:val="Corpodetexto"/>
    <w:rsid w:val="00F47503"/>
  </w:style>
  <w:style w:type="paragraph" w:styleId="Rodap">
    <w:name w:val="footer"/>
    <w:basedOn w:val="Normal"/>
    <w:link w:val="RodapChar"/>
    <w:uiPriority w:val="99"/>
    <w:rsid w:val="00F47503"/>
    <w:pPr>
      <w:tabs>
        <w:tab w:val="center" w:pos="4419"/>
        <w:tab w:val="right" w:pos="8838"/>
      </w:tabs>
    </w:pPr>
  </w:style>
  <w:style w:type="paragraph" w:customStyle="1" w:styleId="Contedodetabela">
    <w:name w:val="Conteúdo de tabela"/>
    <w:basedOn w:val="Normal"/>
    <w:rsid w:val="00F47503"/>
    <w:pPr>
      <w:suppressLineNumbers/>
    </w:pPr>
  </w:style>
  <w:style w:type="paragraph" w:customStyle="1" w:styleId="Ttulodetabela">
    <w:name w:val="Título de tabela"/>
    <w:basedOn w:val="Contedodetabela"/>
    <w:rsid w:val="00F47503"/>
    <w:pPr>
      <w:jc w:val="center"/>
    </w:pPr>
    <w:rPr>
      <w:b/>
      <w:bCs/>
    </w:rPr>
  </w:style>
  <w:style w:type="paragraph" w:customStyle="1" w:styleId="Legenda1">
    <w:name w:val="Legenda1"/>
    <w:basedOn w:val="Normal"/>
    <w:rsid w:val="00F47503"/>
    <w:pPr>
      <w:suppressLineNumbers/>
      <w:spacing w:before="120" w:after="120"/>
    </w:pPr>
    <w:rPr>
      <w:i/>
      <w:iCs/>
    </w:rPr>
  </w:style>
  <w:style w:type="paragraph" w:customStyle="1" w:styleId="ndice">
    <w:name w:val="Índice"/>
    <w:basedOn w:val="Normal"/>
    <w:rsid w:val="00F47503"/>
    <w:pPr>
      <w:suppressLineNumbers/>
    </w:pPr>
  </w:style>
  <w:style w:type="character" w:customStyle="1" w:styleId="RodapChar">
    <w:name w:val="Rodapé Char"/>
    <w:link w:val="Rodap"/>
    <w:uiPriority w:val="99"/>
    <w:rsid w:val="00BF2B84"/>
    <w:rPr>
      <w:rFonts w:eastAsia="Lucida Sans Unicode" w:cs="Tahoma"/>
      <w:sz w:val="24"/>
      <w:szCs w:val="24"/>
      <w:lang w:eastAsia="ar-SA"/>
    </w:rPr>
  </w:style>
  <w:style w:type="character" w:customStyle="1" w:styleId="Ttulo2Char">
    <w:name w:val="Título 2 Char"/>
    <w:basedOn w:val="Fontepargpadro"/>
    <w:link w:val="Ttulo2"/>
    <w:uiPriority w:val="9"/>
    <w:semiHidden/>
    <w:rsid w:val="00BD4DEF"/>
    <w:rPr>
      <w:rFonts w:asciiTheme="majorHAnsi" w:eastAsiaTheme="majorEastAsia" w:hAnsiTheme="majorHAnsi" w:cstheme="majorBidi"/>
      <w:b/>
      <w:bCs/>
      <w:color w:val="4472C4" w:themeColor="accent1"/>
      <w:sz w:val="26"/>
      <w:szCs w:val="26"/>
      <w:lang w:eastAsia="ar-SA"/>
    </w:rPr>
  </w:style>
  <w:style w:type="paragraph" w:styleId="Cabealho">
    <w:name w:val="header"/>
    <w:basedOn w:val="Normal"/>
    <w:link w:val="CabealhoChar"/>
    <w:uiPriority w:val="99"/>
    <w:unhideWhenUsed/>
    <w:rsid w:val="000866F0"/>
    <w:pPr>
      <w:tabs>
        <w:tab w:val="center" w:pos="4252"/>
        <w:tab w:val="right" w:pos="8504"/>
      </w:tabs>
    </w:pPr>
  </w:style>
  <w:style w:type="character" w:customStyle="1" w:styleId="CabealhoChar">
    <w:name w:val="Cabeçalho Char"/>
    <w:basedOn w:val="Fontepargpadro"/>
    <w:link w:val="Cabealho"/>
    <w:uiPriority w:val="99"/>
    <w:rsid w:val="000866F0"/>
    <w:rPr>
      <w:rFonts w:eastAsia="Lucida Sans Unicode" w:cs="Tahoma"/>
      <w:sz w:val="24"/>
      <w:szCs w:val="24"/>
      <w:lang w:eastAsia="ar-SA"/>
    </w:rPr>
  </w:style>
  <w:style w:type="character" w:styleId="Hyperlink">
    <w:name w:val="Hyperlink"/>
    <w:basedOn w:val="Fontepargpadro"/>
    <w:uiPriority w:val="99"/>
    <w:unhideWhenUsed/>
    <w:rsid w:val="00650C95"/>
    <w:rPr>
      <w:color w:val="0563C1" w:themeColor="hyperlink"/>
      <w:u w:val="single"/>
    </w:rPr>
  </w:style>
  <w:style w:type="paragraph" w:styleId="NormalWeb">
    <w:name w:val="Normal (Web)"/>
    <w:basedOn w:val="Normal"/>
    <w:uiPriority w:val="99"/>
    <w:semiHidden/>
    <w:unhideWhenUsed/>
    <w:rsid w:val="00EC7D4D"/>
    <w:pPr>
      <w:widowControl/>
      <w:suppressAutoHyphens w:val="0"/>
      <w:spacing w:before="100" w:beforeAutospacing="1" w:after="100" w:afterAutospacing="1"/>
    </w:pPr>
    <w:rPr>
      <w:rFonts w:eastAsia="Times New Roman" w:cs="Times New Roman"/>
      <w:lang w:eastAsia="pt-BR"/>
    </w:rPr>
  </w:style>
  <w:style w:type="paragraph" w:styleId="SemEspaamento">
    <w:name w:val="No Spacing"/>
    <w:uiPriority w:val="1"/>
    <w:qFormat/>
    <w:rsid w:val="00EC7D4D"/>
    <w:rPr>
      <w:rFonts w:ascii="Calibri" w:hAnsi="Calibri"/>
      <w:sz w:val="22"/>
      <w:szCs w:val="22"/>
      <w:lang w:eastAsia="pt-BR"/>
    </w:rPr>
  </w:style>
  <w:style w:type="character" w:customStyle="1" w:styleId="highlight">
    <w:name w:val="highlight"/>
    <w:basedOn w:val="Fontepargpadro"/>
    <w:rsid w:val="00EC7D4D"/>
  </w:style>
</w:styles>
</file>

<file path=word/webSettings.xml><?xml version="1.0" encoding="utf-8"?>
<w:webSettings xmlns:r="http://schemas.openxmlformats.org/officeDocument/2006/relationships" xmlns:w="http://schemas.openxmlformats.org/wordprocessingml/2006/main">
  <w:divs>
    <w:div w:id="761797653">
      <w:bodyDiv w:val="1"/>
      <w:marLeft w:val="0"/>
      <w:marRight w:val="0"/>
      <w:marTop w:val="0"/>
      <w:marBottom w:val="0"/>
      <w:divBdr>
        <w:top w:val="none" w:sz="0" w:space="0" w:color="auto"/>
        <w:left w:val="none" w:sz="0" w:space="0" w:color="auto"/>
        <w:bottom w:val="none" w:sz="0" w:space="0" w:color="auto"/>
        <w:right w:val="none" w:sz="0" w:space="0" w:color="auto"/>
      </w:divBdr>
    </w:div>
    <w:div w:id="1074545352">
      <w:bodyDiv w:val="1"/>
      <w:marLeft w:val="0"/>
      <w:marRight w:val="0"/>
      <w:marTop w:val="0"/>
      <w:marBottom w:val="0"/>
      <w:divBdr>
        <w:top w:val="none" w:sz="0" w:space="0" w:color="auto"/>
        <w:left w:val="none" w:sz="0" w:space="0" w:color="auto"/>
        <w:bottom w:val="none" w:sz="0" w:space="0" w:color="auto"/>
        <w:right w:val="none" w:sz="0" w:space="0" w:color="auto"/>
      </w:divBdr>
    </w:div>
    <w:div w:id="206513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1121</Words>
  <Characters>6055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Legislação</dc:creator>
  <cp:lastModifiedBy>ma575987</cp:lastModifiedBy>
  <cp:revision>7</cp:revision>
  <cp:lastPrinted>2020-09-29T17:53:00Z</cp:lastPrinted>
  <dcterms:created xsi:type="dcterms:W3CDTF">2020-09-28T19:40:00Z</dcterms:created>
  <dcterms:modified xsi:type="dcterms:W3CDTF">2020-09-29T17:54:00Z</dcterms:modified>
</cp:coreProperties>
</file>