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6A" w:rsidRPr="0039376A" w:rsidRDefault="0039376A" w:rsidP="0039376A">
      <w:pPr>
        <w:pStyle w:val="Standard"/>
        <w:rPr>
          <w:rFonts w:cs="Times New Roman"/>
          <w:sz w:val="28"/>
          <w:szCs w:val="28"/>
        </w:rPr>
      </w:pPr>
      <w:r w:rsidRPr="0039376A">
        <w:rPr>
          <w:rFonts w:cs="Times New Roman"/>
          <w:noProof/>
          <w:sz w:val="28"/>
          <w:szCs w:val="28"/>
          <w:lang w:eastAsia="pt-BR" w:bidi="ar-SA"/>
        </w:rPr>
        <w:drawing>
          <wp:inline distT="0" distB="0" distL="0" distR="0" wp14:anchorId="3633376D" wp14:editId="65E22A49">
            <wp:extent cx="6109920" cy="994739"/>
            <wp:effectExtent l="0" t="0" r="0" b="0"/>
            <wp:docPr id="3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alphaModFix/>
                      <a:lum/>
                    </a:blip>
                    <a:srcRect/>
                    <a:stretch>
                      <a:fillRect/>
                    </a:stretch>
                  </pic:blipFill>
                  <pic:spPr>
                    <a:xfrm>
                      <a:off x="0" y="0"/>
                      <a:ext cx="6109920" cy="994739"/>
                    </a:xfrm>
                    <a:prstGeom prst="rect">
                      <a:avLst/>
                    </a:prstGeom>
                    <a:solidFill>
                      <a:srgbClr val="FFFFFF"/>
                    </a:solidFill>
                    <a:ln>
                      <a:noFill/>
                      <a:prstDash/>
                    </a:ln>
                  </pic:spPr>
                </pic:pic>
              </a:graphicData>
            </a:graphic>
          </wp:inline>
        </w:drawing>
      </w:r>
    </w:p>
    <w:p w:rsidR="0039376A" w:rsidRPr="0039376A" w:rsidRDefault="0039376A" w:rsidP="0039376A">
      <w:pPr>
        <w:pStyle w:val="Standard"/>
        <w:jc w:val="center"/>
        <w:rPr>
          <w:rFonts w:eastAsia="Times New Roman" w:cs="Times New Roman"/>
          <w:b/>
          <w:bCs/>
          <w:i/>
          <w:iCs/>
          <w:sz w:val="28"/>
          <w:szCs w:val="28"/>
          <w:lang w:bidi="ar-SA"/>
        </w:rPr>
      </w:pPr>
    </w:p>
    <w:p w:rsidR="0039376A" w:rsidRDefault="0039376A" w:rsidP="0039376A">
      <w:pPr>
        <w:pStyle w:val="Standard"/>
        <w:jc w:val="center"/>
        <w:rPr>
          <w:rFonts w:eastAsia="Times New Roman" w:cs="Times New Roman"/>
          <w:b/>
          <w:bCs/>
          <w:i/>
          <w:iCs/>
          <w:sz w:val="28"/>
          <w:szCs w:val="28"/>
          <w:lang w:bidi="ar-SA"/>
        </w:rPr>
      </w:pPr>
    </w:p>
    <w:p w:rsidR="00B770CC" w:rsidRPr="0039376A" w:rsidRDefault="00B770CC" w:rsidP="0039376A">
      <w:pPr>
        <w:pStyle w:val="Standard"/>
        <w:jc w:val="center"/>
        <w:rPr>
          <w:rFonts w:eastAsia="Times New Roman" w:cs="Times New Roman"/>
          <w:b/>
          <w:bCs/>
          <w:i/>
          <w:iCs/>
          <w:sz w:val="28"/>
          <w:szCs w:val="28"/>
          <w:lang w:bidi="ar-SA"/>
        </w:rPr>
      </w:pPr>
    </w:p>
    <w:p w:rsidR="0039376A" w:rsidRPr="0039376A" w:rsidRDefault="0039376A" w:rsidP="0039376A">
      <w:pPr>
        <w:pStyle w:val="Standard"/>
        <w:jc w:val="center"/>
        <w:rPr>
          <w:rFonts w:cs="Times New Roman"/>
          <w:sz w:val="28"/>
          <w:szCs w:val="28"/>
        </w:rPr>
      </w:pPr>
      <w:r w:rsidRPr="0039376A">
        <w:rPr>
          <w:rFonts w:eastAsia="Times New Roman" w:cs="Times New Roman"/>
          <w:b/>
          <w:bCs/>
          <w:i/>
          <w:iCs/>
          <w:sz w:val="28"/>
          <w:szCs w:val="28"/>
          <w:lang w:bidi="ar-SA"/>
        </w:rPr>
        <w:t>ANTEPROJETO DE LEI Nº ______/2018</w:t>
      </w:r>
    </w:p>
    <w:p w:rsidR="0039376A" w:rsidRPr="0039376A" w:rsidRDefault="0039376A" w:rsidP="0039376A">
      <w:pPr>
        <w:pStyle w:val="Standard"/>
        <w:rPr>
          <w:rFonts w:cs="Times New Roman"/>
          <w:sz w:val="28"/>
          <w:szCs w:val="28"/>
        </w:rPr>
      </w:pPr>
    </w:p>
    <w:p w:rsidR="0039376A" w:rsidRPr="0039376A" w:rsidRDefault="0039376A" w:rsidP="0039376A">
      <w:pPr>
        <w:spacing w:after="0" w:line="240" w:lineRule="auto"/>
        <w:jc w:val="right"/>
        <w:rPr>
          <w:rFonts w:ascii="Times New Roman" w:eastAsia="Times New Roman" w:hAnsi="Times New Roman" w:cs="Times New Roman"/>
          <w:i/>
          <w:sz w:val="28"/>
          <w:szCs w:val="28"/>
          <w:u w:val="single"/>
          <w:lang w:eastAsia="pt-BR"/>
        </w:rPr>
      </w:pPr>
    </w:p>
    <w:p w:rsidR="0039376A" w:rsidRDefault="0039376A" w:rsidP="0039376A">
      <w:pPr>
        <w:spacing w:after="0" w:line="240" w:lineRule="auto"/>
        <w:jc w:val="right"/>
        <w:rPr>
          <w:rFonts w:ascii="Times New Roman" w:hAnsi="Times New Roman" w:cs="Times New Roman"/>
          <w:sz w:val="28"/>
          <w:szCs w:val="28"/>
        </w:rPr>
      </w:pPr>
      <w:bookmarkStart w:id="0" w:name="_GoBack"/>
      <w:r w:rsidRPr="0039376A">
        <w:rPr>
          <w:rFonts w:ascii="Times New Roman" w:hAnsi="Times New Roman" w:cs="Times New Roman"/>
          <w:sz w:val="28"/>
          <w:szCs w:val="28"/>
        </w:rPr>
        <w:t>"</w:t>
      </w:r>
      <w:r>
        <w:rPr>
          <w:rFonts w:ascii="Times New Roman" w:hAnsi="Times New Roman" w:cs="Times New Roman"/>
          <w:sz w:val="28"/>
          <w:szCs w:val="28"/>
        </w:rPr>
        <w:t>C</w:t>
      </w:r>
      <w:r w:rsidRPr="0039376A">
        <w:rPr>
          <w:rFonts w:ascii="Times New Roman" w:hAnsi="Times New Roman" w:cs="Times New Roman"/>
          <w:sz w:val="28"/>
          <w:szCs w:val="28"/>
        </w:rPr>
        <w:t xml:space="preserve">ria Equipes de Captação </w:t>
      </w:r>
    </w:p>
    <w:p w:rsidR="0039376A" w:rsidRPr="0039376A" w:rsidRDefault="0039376A" w:rsidP="0039376A">
      <w:pPr>
        <w:spacing w:after="0" w:line="240" w:lineRule="auto"/>
        <w:jc w:val="right"/>
        <w:rPr>
          <w:rFonts w:ascii="Times New Roman" w:hAnsi="Times New Roman" w:cs="Times New Roman"/>
          <w:sz w:val="28"/>
          <w:szCs w:val="28"/>
        </w:rPr>
      </w:pPr>
      <w:proofErr w:type="gramStart"/>
      <w:r w:rsidRPr="0039376A">
        <w:rPr>
          <w:rFonts w:ascii="Times New Roman" w:hAnsi="Times New Roman" w:cs="Times New Roman"/>
          <w:sz w:val="28"/>
          <w:szCs w:val="28"/>
        </w:rPr>
        <w:t>de</w:t>
      </w:r>
      <w:proofErr w:type="gramEnd"/>
      <w:r w:rsidRPr="0039376A">
        <w:rPr>
          <w:rFonts w:ascii="Times New Roman" w:hAnsi="Times New Roman" w:cs="Times New Roman"/>
          <w:sz w:val="28"/>
          <w:szCs w:val="28"/>
        </w:rPr>
        <w:t xml:space="preserve"> Órgãos para fins de doação."</w:t>
      </w:r>
    </w:p>
    <w:p w:rsidR="0039376A" w:rsidRDefault="0039376A" w:rsidP="0039376A">
      <w:pPr>
        <w:spacing w:after="0" w:line="240" w:lineRule="auto"/>
        <w:rPr>
          <w:rFonts w:ascii="Times New Roman" w:hAnsi="Times New Roman" w:cs="Times New Roman"/>
          <w:sz w:val="28"/>
          <w:szCs w:val="28"/>
        </w:rPr>
      </w:pPr>
    </w:p>
    <w:bookmarkEnd w:id="0"/>
    <w:p w:rsidR="00B770CC" w:rsidRPr="0039376A" w:rsidRDefault="00B770CC" w:rsidP="0039376A">
      <w:pPr>
        <w:spacing w:after="0" w:line="240" w:lineRule="auto"/>
        <w:rPr>
          <w:rFonts w:ascii="Times New Roman" w:hAnsi="Times New Roman" w:cs="Times New Roman"/>
          <w:sz w:val="28"/>
          <w:szCs w:val="28"/>
        </w:rPr>
      </w:pPr>
    </w:p>
    <w:p w:rsid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 xml:space="preserve">Art. 1° - Fica o Poder Executivo autorizado a criar Equipes de Captação de Órgãos para fins de doação. </w:t>
      </w:r>
    </w:p>
    <w:p w:rsidR="0039376A" w:rsidRDefault="0039376A" w:rsidP="0039376A">
      <w:pPr>
        <w:spacing w:after="0" w:line="240" w:lineRule="auto"/>
        <w:rPr>
          <w:rFonts w:ascii="Times New Roman" w:hAnsi="Times New Roman" w:cs="Times New Roman"/>
          <w:sz w:val="28"/>
          <w:szCs w:val="28"/>
        </w:rPr>
      </w:pPr>
    </w:p>
    <w:p w:rsid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 xml:space="preserve">Parágrafo único. Consideram-se equipes, que trata o Caput deste artigo, a reunião de psicólogos e assistentes sociais. </w:t>
      </w:r>
    </w:p>
    <w:p w:rsid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 xml:space="preserve">Art. 2° - As equipes somente poderão atuar junto às famílias dos possíveis doadores quando autorizadas pela junta médica que constatarem a "morte cerebral" dos mesmos. </w:t>
      </w:r>
    </w:p>
    <w:p w:rsidR="0039376A" w:rsidRDefault="0039376A" w:rsidP="0039376A">
      <w:pPr>
        <w:spacing w:after="0" w:line="240" w:lineRule="auto"/>
        <w:rPr>
          <w:rFonts w:ascii="Times New Roman" w:hAnsi="Times New Roman" w:cs="Times New Roman"/>
          <w:sz w:val="28"/>
          <w:szCs w:val="28"/>
        </w:rPr>
      </w:pPr>
    </w:p>
    <w:p w:rsid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 xml:space="preserve">Parágrafo único. Considera-se "morte cerebral" o conceito aceito pelo Conselho Federal de Medicina — CFM. </w:t>
      </w:r>
    </w:p>
    <w:p w:rsid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 xml:space="preserve">Art. 3° — O Poder Executivo poderá firmar convênio com instituições, civis e educacionais, para formar as equipes que trata o art. 1°. </w:t>
      </w:r>
    </w:p>
    <w:p w:rsid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Art. 4° - As equipes, que trata o art. 1°, serão subordinadas conjuntamente às Secretarias Municipais de Saúde e de Assistência Social, Segurança Alime</w:t>
      </w:r>
      <w:r>
        <w:rPr>
          <w:rFonts w:ascii="Times New Roman" w:hAnsi="Times New Roman" w:cs="Times New Roman"/>
          <w:sz w:val="28"/>
          <w:szCs w:val="28"/>
        </w:rPr>
        <w:t>ntar.</w:t>
      </w:r>
    </w:p>
    <w:p w:rsid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 xml:space="preserve">Art. 5° - As despesas com a execução da presente Lei correrão por conta de dotação orçamentária própria. </w:t>
      </w:r>
    </w:p>
    <w:p w:rsidR="0039376A" w:rsidRPr="0039376A" w:rsidRDefault="0039376A" w:rsidP="0039376A">
      <w:pPr>
        <w:spacing w:after="0" w:line="240" w:lineRule="auto"/>
        <w:rPr>
          <w:rFonts w:ascii="Times New Roman" w:hAnsi="Times New Roman" w:cs="Times New Roman"/>
          <w:sz w:val="28"/>
          <w:szCs w:val="28"/>
        </w:rPr>
      </w:pPr>
      <w:r w:rsidRPr="0039376A">
        <w:rPr>
          <w:rFonts w:ascii="Times New Roman" w:hAnsi="Times New Roman" w:cs="Times New Roman"/>
          <w:sz w:val="28"/>
          <w:szCs w:val="28"/>
        </w:rPr>
        <w:t>Art. 6° - Esta Lei entra em vigor em 180 (cento e oitenta dias).</w:t>
      </w:r>
    </w:p>
    <w:p w:rsidR="0039376A" w:rsidRPr="0039376A" w:rsidRDefault="0039376A" w:rsidP="0039376A">
      <w:pPr>
        <w:spacing w:after="0" w:line="240" w:lineRule="auto"/>
        <w:rPr>
          <w:rFonts w:ascii="Times New Roman" w:hAnsi="Times New Roman" w:cs="Times New Roman"/>
          <w:sz w:val="28"/>
          <w:szCs w:val="28"/>
        </w:rPr>
      </w:pPr>
    </w:p>
    <w:p w:rsidR="00B770CC" w:rsidRDefault="00B770CC" w:rsidP="0039376A">
      <w:pPr>
        <w:spacing w:after="0" w:line="240" w:lineRule="auto"/>
        <w:jc w:val="center"/>
        <w:rPr>
          <w:rFonts w:ascii="Times New Roman" w:hAnsi="Times New Roman" w:cs="Times New Roman"/>
          <w:sz w:val="28"/>
          <w:szCs w:val="28"/>
        </w:rPr>
      </w:pPr>
    </w:p>
    <w:p w:rsidR="0039376A" w:rsidRDefault="0039376A" w:rsidP="003937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JUSTIFICATIVA:</w:t>
      </w:r>
    </w:p>
    <w:p w:rsidR="00B770CC" w:rsidRDefault="00B770CC" w:rsidP="0039376A">
      <w:pPr>
        <w:spacing w:after="0" w:line="240" w:lineRule="auto"/>
        <w:jc w:val="center"/>
        <w:rPr>
          <w:rFonts w:ascii="Times New Roman" w:hAnsi="Times New Roman" w:cs="Times New Roman"/>
          <w:sz w:val="28"/>
          <w:szCs w:val="28"/>
        </w:rPr>
      </w:pPr>
    </w:p>
    <w:p w:rsidR="0039376A" w:rsidRDefault="0039376A" w:rsidP="0039376A">
      <w:pPr>
        <w:spacing w:after="0" w:line="240" w:lineRule="auto"/>
        <w:jc w:val="center"/>
        <w:rPr>
          <w:rFonts w:ascii="Times New Roman" w:hAnsi="Times New Roman" w:cs="Times New Roman"/>
          <w:sz w:val="28"/>
          <w:szCs w:val="28"/>
        </w:rPr>
      </w:pPr>
    </w:p>
    <w:p w:rsidR="00B770CC" w:rsidRDefault="0039376A" w:rsidP="0039376A">
      <w:pPr>
        <w:spacing w:after="0" w:line="240" w:lineRule="auto"/>
        <w:ind w:firstLine="708"/>
        <w:jc w:val="both"/>
        <w:rPr>
          <w:rFonts w:ascii="Times New Roman" w:hAnsi="Times New Roman" w:cs="Times New Roman"/>
          <w:sz w:val="28"/>
          <w:szCs w:val="28"/>
        </w:rPr>
      </w:pPr>
      <w:r w:rsidRPr="0039376A">
        <w:rPr>
          <w:rFonts w:ascii="Times New Roman" w:hAnsi="Times New Roman" w:cs="Times New Roman"/>
          <w:sz w:val="28"/>
          <w:szCs w:val="28"/>
        </w:rPr>
        <w:t xml:space="preserve">Os transplantes de órgãos são </w:t>
      </w:r>
      <w:proofErr w:type="gramStart"/>
      <w:r w:rsidRPr="0039376A">
        <w:rPr>
          <w:rFonts w:ascii="Times New Roman" w:hAnsi="Times New Roman" w:cs="Times New Roman"/>
          <w:sz w:val="28"/>
          <w:szCs w:val="28"/>
        </w:rPr>
        <w:t>práticas</w:t>
      </w:r>
      <w:proofErr w:type="gramEnd"/>
      <w:r w:rsidRPr="0039376A">
        <w:rPr>
          <w:rFonts w:ascii="Times New Roman" w:hAnsi="Times New Roman" w:cs="Times New Roman"/>
          <w:sz w:val="28"/>
          <w:szCs w:val="28"/>
        </w:rPr>
        <w:t xml:space="preserve"> cirúrgicas capazes de salvar vidas e trazer esperança para os pacientes acometidos pelas mais variadas doenças. Porém, os índices de transplantes realizados pelos sistemas de saúde são muito baixos. Esse índice reduzido está associado a dificuldades tecnológicas e à falta de doadores. É possível constatar que, para o aumento das doações, é necessário amplo debate em comunidade e intensa conscientização da população a respeito dos benefícios da doação. </w:t>
      </w:r>
    </w:p>
    <w:p w:rsidR="00B770CC" w:rsidRDefault="0039376A" w:rsidP="0039376A">
      <w:pPr>
        <w:spacing w:after="0" w:line="240" w:lineRule="auto"/>
        <w:ind w:firstLine="708"/>
        <w:jc w:val="both"/>
        <w:rPr>
          <w:rFonts w:ascii="Times New Roman" w:hAnsi="Times New Roman" w:cs="Times New Roman"/>
          <w:sz w:val="28"/>
          <w:szCs w:val="28"/>
        </w:rPr>
      </w:pPr>
      <w:r w:rsidRPr="0039376A">
        <w:rPr>
          <w:rFonts w:ascii="Times New Roman" w:hAnsi="Times New Roman" w:cs="Times New Roman"/>
          <w:sz w:val="28"/>
          <w:szCs w:val="28"/>
        </w:rPr>
        <w:t xml:space="preserve">A doação de órgãos é um procedimento situado no tênue limite entre a vida e a morte e dialoga com a dimensão simbólica da relação do homem com o mundo e com os outros homens (Steiner, 2004). Por isso, esse procedimento precisa ser discutido, no contexto subjetivo, com os possíveis doadores e receptores e também no contexto familiar. Essas discussões podem trazer à </w:t>
      </w:r>
      <w:r w:rsidRPr="0039376A">
        <w:rPr>
          <w:rFonts w:ascii="Times New Roman" w:hAnsi="Times New Roman" w:cs="Times New Roman"/>
          <w:sz w:val="28"/>
          <w:szCs w:val="28"/>
        </w:rPr>
        <w:lastRenderedPageBreak/>
        <w:t xml:space="preserve">tona fantasias que têm influência direta nas decisões e no equilíbrio emocional dos indivíduos envolvidos (Garcia, Souza &amp; Holanda, 2005). </w:t>
      </w:r>
    </w:p>
    <w:p w:rsidR="00B770CC" w:rsidRDefault="0039376A" w:rsidP="0039376A">
      <w:pPr>
        <w:spacing w:after="0" w:line="240" w:lineRule="auto"/>
        <w:ind w:firstLine="708"/>
        <w:jc w:val="both"/>
        <w:rPr>
          <w:rFonts w:ascii="Times New Roman" w:hAnsi="Times New Roman" w:cs="Times New Roman"/>
          <w:sz w:val="28"/>
          <w:szCs w:val="28"/>
        </w:rPr>
      </w:pPr>
      <w:r w:rsidRPr="0039376A">
        <w:rPr>
          <w:rFonts w:ascii="Times New Roman" w:hAnsi="Times New Roman" w:cs="Times New Roman"/>
          <w:sz w:val="28"/>
          <w:szCs w:val="28"/>
        </w:rPr>
        <w:t xml:space="preserve">As fantasias advindas do senso comum e informações incorretas sobre os procedimentos se relacionam diretamente com o baixo número de doações. Atualmente, vigora no Brasil a Lei n° 9.434/97, que trata de aspectos importantes como, a condição da retirada dos órgãos, como deve ser realizado o diagnóstico de morte encefálica, que permite a doação </w:t>
      </w:r>
      <w:proofErr w:type="spellStart"/>
      <w:r w:rsidRPr="0039376A">
        <w:rPr>
          <w:rFonts w:ascii="Times New Roman" w:hAnsi="Times New Roman" w:cs="Times New Roman"/>
          <w:sz w:val="28"/>
          <w:szCs w:val="28"/>
        </w:rPr>
        <w:t>intervivos</w:t>
      </w:r>
      <w:proofErr w:type="spellEnd"/>
      <w:r w:rsidRPr="0039376A">
        <w:rPr>
          <w:rFonts w:ascii="Times New Roman" w:hAnsi="Times New Roman" w:cs="Times New Roman"/>
          <w:sz w:val="28"/>
          <w:szCs w:val="28"/>
        </w:rPr>
        <w:t xml:space="preserve"> de órgãos duplos e tecidos, proíbe e pune qualquer tipo de comercio de órgãos, criando os sistemas nacionais responsáveis pelo gerenciamento dos procedimentos de fila de espera, etc. </w:t>
      </w:r>
    </w:p>
    <w:p w:rsidR="0039376A" w:rsidRPr="0039376A" w:rsidRDefault="0039376A" w:rsidP="0039376A">
      <w:pPr>
        <w:spacing w:after="0" w:line="240" w:lineRule="auto"/>
        <w:ind w:firstLine="708"/>
        <w:jc w:val="both"/>
        <w:rPr>
          <w:rFonts w:ascii="Times New Roman" w:hAnsi="Times New Roman" w:cs="Times New Roman"/>
          <w:sz w:val="28"/>
          <w:szCs w:val="28"/>
        </w:rPr>
      </w:pPr>
      <w:r w:rsidRPr="0039376A">
        <w:rPr>
          <w:rFonts w:ascii="Times New Roman" w:hAnsi="Times New Roman" w:cs="Times New Roman"/>
          <w:sz w:val="28"/>
          <w:szCs w:val="28"/>
        </w:rPr>
        <w:t>Nesse mesmo ano, foi promovida uma reflexão multiprofissional, no campo da Saúde Pública, sobre os critérios que permeiam os procedimentos de doação, tais como as necessidades sociais, as filas de espera e a dificuldade para encontrar doadores (</w:t>
      </w:r>
      <w:proofErr w:type="spellStart"/>
      <w:r w:rsidRPr="0039376A">
        <w:rPr>
          <w:rFonts w:ascii="Times New Roman" w:hAnsi="Times New Roman" w:cs="Times New Roman"/>
          <w:sz w:val="28"/>
          <w:szCs w:val="28"/>
        </w:rPr>
        <w:t>Bendassolli</w:t>
      </w:r>
      <w:proofErr w:type="spellEnd"/>
      <w:r w:rsidRPr="0039376A">
        <w:rPr>
          <w:rFonts w:ascii="Times New Roman" w:hAnsi="Times New Roman" w:cs="Times New Roman"/>
          <w:sz w:val="28"/>
          <w:szCs w:val="28"/>
        </w:rPr>
        <w:t xml:space="preserve">, 2001). </w:t>
      </w:r>
    </w:p>
    <w:p w:rsidR="00B770CC" w:rsidRDefault="0039376A" w:rsidP="0039376A">
      <w:pPr>
        <w:spacing w:after="0" w:line="240" w:lineRule="auto"/>
        <w:ind w:firstLine="708"/>
        <w:jc w:val="both"/>
        <w:rPr>
          <w:rFonts w:ascii="Times New Roman" w:hAnsi="Times New Roman" w:cs="Times New Roman"/>
          <w:sz w:val="28"/>
          <w:szCs w:val="28"/>
        </w:rPr>
      </w:pPr>
      <w:r w:rsidRPr="0039376A">
        <w:rPr>
          <w:rFonts w:ascii="Times New Roman" w:hAnsi="Times New Roman" w:cs="Times New Roman"/>
          <w:sz w:val="28"/>
          <w:szCs w:val="28"/>
        </w:rPr>
        <w:t xml:space="preserve">De acordo com a Portaria n° 2.933/10, no âmbito da doação de órgãos e transplantes, é essencial utilizar as estratégias da política de Educação Permanente em Saúde. </w:t>
      </w:r>
    </w:p>
    <w:p w:rsidR="0039376A" w:rsidRPr="0039376A" w:rsidRDefault="0039376A" w:rsidP="0039376A">
      <w:pPr>
        <w:spacing w:after="0" w:line="240" w:lineRule="auto"/>
        <w:ind w:firstLine="708"/>
        <w:jc w:val="both"/>
        <w:rPr>
          <w:rFonts w:ascii="Times New Roman" w:hAnsi="Times New Roman" w:cs="Times New Roman"/>
          <w:sz w:val="28"/>
          <w:szCs w:val="28"/>
        </w:rPr>
      </w:pPr>
      <w:r w:rsidRPr="0039376A">
        <w:rPr>
          <w:rFonts w:ascii="Times New Roman" w:hAnsi="Times New Roman" w:cs="Times New Roman"/>
          <w:sz w:val="28"/>
          <w:szCs w:val="28"/>
        </w:rPr>
        <w:t>Essa é uma das melhores ferramentas de conscientização voltada para a capacitação dos profissionais envolvidos, para que eles possam executar melhor suas funções e repassar informações úteis para a população. Além de diminuir a probabilidade de erros do profissional, aumenta a conscientização coletiva sobre o tema e a possibilidade de receber um "sim" da família na hora da entrevista.</w:t>
      </w:r>
    </w:p>
    <w:p w:rsidR="0039376A" w:rsidRPr="0039376A" w:rsidRDefault="0039376A" w:rsidP="0039376A">
      <w:pPr>
        <w:spacing w:after="0" w:line="240" w:lineRule="auto"/>
        <w:ind w:firstLine="708"/>
        <w:rPr>
          <w:rFonts w:ascii="Times New Roman" w:eastAsia="Times New Roman" w:hAnsi="Times New Roman" w:cs="Times New Roman"/>
          <w:b/>
          <w:sz w:val="28"/>
          <w:szCs w:val="28"/>
          <w:u w:val="single"/>
          <w:lang w:eastAsia="pt-BR"/>
        </w:rPr>
      </w:pPr>
      <w:r w:rsidRPr="0039376A">
        <w:rPr>
          <w:rFonts w:ascii="Times New Roman" w:hAnsi="Times New Roman" w:cs="Times New Roman"/>
          <w:sz w:val="28"/>
          <w:szCs w:val="28"/>
        </w:rPr>
        <w:t>Estou certo que poderei contar com os nobre</w:t>
      </w:r>
      <w:r>
        <w:rPr>
          <w:rFonts w:ascii="Times New Roman" w:hAnsi="Times New Roman" w:cs="Times New Roman"/>
          <w:sz w:val="28"/>
          <w:szCs w:val="28"/>
        </w:rPr>
        <w:t>s</w:t>
      </w:r>
      <w:r w:rsidRPr="0039376A">
        <w:rPr>
          <w:rFonts w:ascii="Times New Roman" w:hAnsi="Times New Roman" w:cs="Times New Roman"/>
          <w:sz w:val="28"/>
          <w:szCs w:val="28"/>
        </w:rPr>
        <w:t xml:space="preserve"> edis para aprovação deste Projeto de Lei. </w:t>
      </w:r>
    </w:p>
    <w:p w:rsidR="0039376A" w:rsidRPr="00685EE6" w:rsidRDefault="0039376A" w:rsidP="0039376A">
      <w:pPr>
        <w:spacing w:after="0" w:line="240" w:lineRule="auto"/>
        <w:jc w:val="both"/>
        <w:rPr>
          <w:rFonts w:ascii="Times New Roman" w:eastAsia="Times New Roman" w:hAnsi="Times New Roman" w:cs="Times New Roman"/>
          <w:sz w:val="28"/>
          <w:szCs w:val="28"/>
          <w:lang w:eastAsia="pt-BR"/>
        </w:rPr>
      </w:pPr>
      <w:r w:rsidRPr="00685EE6">
        <w:rPr>
          <w:rFonts w:ascii="Times New Roman" w:eastAsia="Times New Roman" w:hAnsi="Times New Roman" w:cs="Times New Roman"/>
          <w:sz w:val="28"/>
          <w:szCs w:val="28"/>
          <w:lang w:eastAsia="pt-BR"/>
        </w:rPr>
        <w:t> </w:t>
      </w:r>
    </w:p>
    <w:p w:rsidR="00B770CC" w:rsidRDefault="00B770CC" w:rsidP="0039376A">
      <w:pPr>
        <w:spacing w:after="0" w:line="240" w:lineRule="auto"/>
        <w:jc w:val="center"/>
        <w:rPr>
          <w:rFonts w:ascii="Times New Roman" w:eastAsia="Times New Roman" w:hAnsi="Times New Roman" w:cs="Times New Roman"/>
          <w:sz w:val="28"/>
          <w:szCs w:val="28"/>
        </w:rPr>
      </w:pPr>
    </w:p>
    <w:p w:rsidR="00B770CC" w:rsidRDefault="00B770CC" w:rsidP="0039376A">
      <w:pPr>
        <w:spacing w:after="0" w:line="240" w:lineRule="auto"/>
        <w:jc w:val="center"/>
        <w:rPr>
          <w:rFonts w:ascii="Times New Roman" w:eastAsia="Times New Roman" w:hAnsi="Times New Roman" w:cs="Times New Roman"/>
          <w:sz w:val="28"/>
          <w:szCs w:val="28"/>
        </w:rPr>
      </w:pPr>
    </w:p>
    <w:p w:rsidR="00B770CC" w:rsidRDefault="00B770CC" w:rsidP="0039376A">
      <w:pPr>
        <w:spacing w:after="0" w:line="240" w:lineRule="auto"/>
        <w:jc w:val="center"/>
        <w:rPr>
          <w:rFonts w:ascii="Times New Roman" w:eastAsia="Times New Roman" w:hAnsi="Times New Roman" w:cs="Times New Roman"/>
          <w:sz w:val="28"/>
          <w:szCs w:val="28"/>
        </w:rPr>
      </w:pPr>
    </w:p>
    <w:p w:rsidR="0039376A" w:rsidRDefault="0039376A" w:rsidP="0039376A">
      <w:pPr>
        <w:spacing w:after="0" w:line="240" w:lineRule="auto"/>
        <w:jc w:val="center"/>
        <w:rPr>
          <w:rFonts w:ascii="Times New Roman" w:eastAsia="Times New Roman" w:hAnsi="Times New Roman" w:cs="Times New Roman"/>
          <w:sz w:val="28"/>
          <w:szCs w:val="28"/>
        </w:rPr>
      </w:pPr>
      <w:r w:rsidRPr="0039376A">
        <w:rPr>
          <w:rFonts w:ascii="Times New Roman" w:eastAsia="Times New Roman" w:hAnsi="Times New Roman" w:cs="Times New Roman"/>
          <w:sz w:val="28"/>
          <w:szCs w:val="28"/>
        </w:rPr>
        <w:t>Sete Lagoas, 21 de março de 2018</w:t>
      </w:r>
    </w:p>
    <w:p w:rsidR="0039376A" w:rsidRPr="0039376A" w:rsidRDefault="0039376A" w:rsidP="0039376A">
      <w:pPr>
        <w:spacing w:after="0" w:line="240" w:lineRule="auto"/>
        <w:jc w:val="center"/>
        <w:rPr>
          <w:rFonts w:ascii="Times New Roman" w:eastAsia="Times New Roman" w:hAnsi="Times New Roman" w:cs="Times New Roman"/>
          <w:sz w:val="28"/>
          <w:szCs w:val="28"/>
        </w:rPr>
      </w:pPr>
    </w:p>
    <w:p w:rsidR="0039376A" w:rsidRPr="0039376A" w:rsidRDefault="0039376A" w:rsidP="0039376A">
      <w:pPr>
        <w:spacing w:after="0" w:line="240" w:lineRule="auto"/>
        <w:jc w:val="center"/>
        <w:rPr>
          <w:rFonts w:ascii="Times New Roman" w:eastAsia="Times New Roman" w:hAnsi="Times New Roman" w:cs="Times New Roman"/>
          <w:sz w:val="28"/>
          <w:szCs w:val="28"/>
        </w:rPr>
      </w:pPr>
    </w:p>
    <w:p w:rsidR="0039376A" w:rsidRDefault="0039376A" w:rsidP="0039376A">
      <w:pPr>
        <w:pStyle w:val="Standard"/>
        <w:pBdr>
          <w:bottom w:val="single" w:sz="12" w:space="0" w:color="000000"/>
        </w:pBdr>
        <w:spacing w:before="120"/>
        <w:jc w:val="center"/>
        <w:rPr>
          <w:rFonts w:cs="Times New Roman"/>
          <w:sz w:val="28"/>
          <w:szCs w:val="28"/>
        </w:rPr>
      </w:pPr>
    </w:p>
    <w:p w:rsidR="00B770CC" w:rsidRPr="0039376A" w:rsidRDefault="00B770CC" w:rsidP="0039376A">
      <w:pPr>
        <w:pStyle w:val="Standard"/>
        <w:pBdr>
          <w:bottom w:val="single" w:sz="12" w:space="0" w:color="000000"/>
        </w:pBdr>
        <w:spacing w:before="120"/>
        <w:jc w:val="center"/>
        <w:rPr>
          <w:rFonts w:cs="Times New Roman"/>
          <w:sz w:val="28"/>
          <w:szCs w:val="28"/>
        </w:rPr>
      </w:pPr>
    </w:p>
    <w:p w:rsidR="00B24FF4" w:rsidRDefault="0039376A" w:rsidP="0039376A">
      <w:pPr>
        <w:pStyle w:val="Standard"/>
        <w:pBdr>
          <w:bottom w:val="single" w:sz="12" w:space="0" w:color="000000"/>
        </w:pBdr>
        <w:spacing w:before="120"/>
        <w:jc w:val="center"/>
        <w:rPr>
          <w:rFonts w:cs="Times New Roman"/>
          <w:sz w:val="28"/>
          <w:szCs w:val="28"/>
        </w:rPr>
      </w:pPr>
      <w:r w:rsidRPr="0039376A">
        <w:rPr>
          <w:rFonts w:eastAsia="Times New Roman" w:cs="Times New Roman"/>
          <w:b/>
          <w:bCs/>
          <w:i/>
          <w:iCs/>
          <w:noProof/>
          <w:sz w:val="28"/>
          <w:szCs w:val="28"/>
          <w:lang w:eastAsia="pt-BR" w:bidi="ar-SA"/>
        </w:rPr>
        <w:drawing>
          <wp:inline distT="0" distB="0" distL="0" distR="0" wp14:anchorId="3876EF62" wp14:editId="45CA5566">
            <wp:extent cx="1603169" cy="551429"/>
            <wp:effectExtent l="0" t="0" r="0" b="1270"/>
            <wp:docPr id="36" name="Imagem 1" descr="D:\Usuarios\Usuario\Pictures\logomarca vereador ismael soares de moura - sete lagoas m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1637392" cy="563200"/>
                    </a:xfrm>
                    <a:prstGeom prst="rect">
                      <a:avLst/>
                    </a:prstGeom>
                    <a:noFill/>
                    <a:ln>
                      <a:noFill/>
                      <a:prstDash/>
                    </a:ln>
                  </pic:spPr>
                </pic:pic>
              </a:graphicData>
            </a:graphic>
          </wp:inline>
        </w:drawing>
      </w: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p w:rsidR="00B770CC" w:rsidRDefault="00B770CC" w:rsidP="0039376A">
      <w:pPr>
        <w:pStyle w:val="Standard"/>
        <w:pBdr>
          <w:bottom w:val="single" w:sz="12" w:space="0" w:color="000000"/>
        </w:pBdr>
        <w:spacing w:before="120"/>
        <w:jc w:val="center"/>
        <w:rPr>
          <w:rFonts w:cs="Times New Roman"/>
          <w:sz w:val="28"/>
          <w:szCs w:val="28"/>
        </w:rPr>
      </w:pPr>
    </w:p>
    <w:sectPr w:rsidR="00B770CC" w:rsidSect="00BD3FE6">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6A"/>
    <w:rsid w:val="00371A16"/>
    <w:rsid w:val="0039376A"/>
    <w:rsid w:val="0086343F"/>
    <w:rsid w:val="00B24FF4"/>
    <w:rsid w:val="00B77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914FE-5908-47CD-9396-B7E0653C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76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9376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xtodebalo">
    <w:name w:val="Balloon Text"/>
    <w:basedOn w:val="Normal"/>
    <w:link w:val="TextodebaloChar"/>
    <w:uiPriority w:val="99"/>
    <w:semiHidden/>
    <w:unhideWhenUsed/>
    <w:rsid w:val="00B770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7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561</Words>
  <Characters>3033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2018-03-21T18:02:00Z</cp:lastPrinted>
  <dcterms:created xsi:type="dcterms:W3CDTF">2018-03-21T17:44:00Z</dcterms:created>
  <dcterms:modified xsi:type="dcterms:W3CDTF">2018-03-23T12:07:00Z</dcterms:modified>
</cp:coreProperties>
</file>