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68" w:rsidRDefault="00F87E68" w:rsidP="00F87E68">
      <w:pPr>
        <w:shd w:val="clear" w:color="auto" w:fill="FFFFFF"/>
        <w:spacing w:line="360" w:lineRule="auto"/>
        <w:jc w:val="both"/>
      </w:pPr>
    </w:p>
    <w:p w:rsidR="00F87E68" w:rsidRDefault="00F87E68" w:rsidP="00F87E68">
      <w:pPr>
        <w:shd w:val="clear" w:color="auto" w:fill="FFFFFF"/>
        <w:spacing w:line="360" w:lineRule="auto"/>
        <w:jc w:val="both"/>
      </w:pPr>
    </w:p>
    <w:p w:rsidR="00990312" w:rsidRDefault="00990312" w:rsidP="00990312">
      <w:pPr>
        <w:jc w:val="center"/>
        <w:rPr>
          <w:b/>
          <w:bCs/>
        </w:rPr>
      </w:pPr>
    </w:p>
    <w:p w:rsidR="00990312" w:rsidRDefault="00990312" w:rsidP="00990312">
      <w:pPr>
        <w:jc w:val="center"/>
        <w:rPr>
          <w:b/>
          <w:bCs/>
        </w:rPr>
      </w:pPr>
      <w:r>
        <w:rPr>
          <w:b/>
          <w:bCs/>
        </w:rPr>
        <w:t>ANTEPROJETO DE LEI ORDINÁRIA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Nº_______/2017</w:t>
      </w:r>
    </w:p>
    <w:p w:rsidR="00990312" w:rsidRDefault="00990312" w:rsidP="00990312">
      <w:pPr>
        <w:rPr>
          <w:b/>
          <w:bCs/>
        </w:rPr>
      </w:pPr>
    </w:p>
    <w:p w:rsidR="00990312" w:rsidRDefault="00990312" w:rsidP="00990312">
      <w:pPr>
        <w:ind w:firstLine="708"/>
        <w:jc w:val="both"/>
        <w:rPr>
          <w:b/>
          <w:bCs/>
        </w:rPr>
      </w:pPr>
    </w:p>
    <w:p w:rsidR="00990312" w:rsidRDefault="00990312" w:rsidP="00990312">
      <w:pPr>
        <w:ind w:left="3969"/>
        <w:jc w:val="both"/>
        <w:rPr>
          <w:b/>
          <w:bCs/>
        </w:rPr>
      </w:pPr>
      <w:r>
        <w:rPr>
          <w:b/>
          <w:bCs/>
        </w:rPr>
        <w:t>“INSTITUI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A TARIFA SOCIAL  DE ÁGUA E ESGOTO DESTINADA A CIDADÃOS DE BAIXA RENDA, REVOGA O PARAGRAFO ÚNICO DO ART. 112 DA LEI N° 5.749 DE 18 DE DEZEMBRO DE 1998 E DÁ OUTRAS PROVIDÊNCIAS”</w:t>
      </w:r>
    </w:p>
    <w:p w:rsidR="00990312" w:rsidRDefault="00990312" w:rsidP="00990312">
      <w:pPr>
        <w:jc w:val="both"/>
        <w:rPr>
          <w:b/>
          <w:bCs/>
        </w:rPr>
      </w:pPr>
    </w:p>
    <w:p w:rsidR="00990312" w:rsidRDefault="00990312" w:rsidP="00990312"/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1°</w:t>
      </w:r>
      <w:r>
        <w:t xml:space="preserve"> Fica instituída a Tarifa Social de Água e Esgoto com a sua destinação a cidadãos de baixa renda familiar em Sete Lagoas.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Parágrafo único. A Tarifa Social emprega-se única e exclusivamente aos cidadãos de baixa renda familiar.</w:t>
      </w:r>
    </w:p>
    <w:p w:rsidR="00990312" w:rsidRDefault="00990312" w:rsidP="00990312">
      <w:pPr>
        <w:spacing w:line="200" w:lineRule="atLeast"/>
        <w:jc w:val="both"/>
      </w:pPr>
      <w:r>
        <w:t xml:space="preserve"> </w:t>
      </w:r>
    </w:p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2°</w:t>
      </w:r>
      <w:proofErr w:type="gramStart"/>
      <w:r>
        <w:t xml:space="preserve">  </w:t>
      </w:r>
      <w:proofErr w:type="gramEnd"/>
      <w:r>
        <w:t>São critérios obrigatórios para o direito a adesão à Tarifa Social de Água e Esgoto: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 – a unidade usuária deverá ser residencial;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 xml:space="preserve">II – os moradores da unidade classificada como residencial, devem pertencem a uma família inscrita no Cadastro Único para Programas Sociais do Governo Federal – </w:t>
      </w:r>
      <w:proofErr w:type="spellStart"/>
      <w:proofErr w:type="gramStart"/>
      <w:r>
        <w:t>CadÚnico</w:t>
      </w:r>
      <w:proofErr w:type="spellEnd"/>
      <w:proofErr w:type="gramEnd"/>
      <w:r>
        <w:t>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III – a família deve ter uma renda mensal por pessoa menor ou igual meio (½) salário mínimo nacional vigente.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 xml:space="preserve">Art. 3° </w:t>
      </w:r>
      <w:r>
        <w:t>São critérios para a perda do benefício: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 xml:space="preserve">I – a família deixar de ser inscrita no Cadastro Único para Programas Sociais do Governo Federal – </w:t>
      </w:r>
      <w:proofErr w:type="spellStart"/>
      <w:proofErr w:type="gramStart"/>
      <w:r>
        <w:t>CadÚnico</w:t>
      </w:r>
      <w:proofErr w:type="spellEnd"/>
      <w:proofErr w:type="gramEnd"/>
      <w:r>
        <w:t>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II – se o beneficiário ficar inadimplente</w:t>
      </w:r>
      <w:proofErr w:type="gramStart"/>
      <w:r>
        <w:t>, terá</w:t>
      </w:r>
      <w:proofErr w:type="gramEnd"/>
      <w:r>
        <w:t xml:space="preserve"> seu benefício suspenso até a regularização do pagamento.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 xml:space="preserve">Art. 4° </w:t>
      </w:r>
      <w:r>
        <w:t>Os usuários do serviço de água e esgoto que por mérito à Tarifa Social, desejarem o benefício, deverão requerer junto a Secretaria Municipal de Assistência Social, para que o Serviço Autônomo de Água e Esgoto de Sete Lagoas – SAAE</w:t>
      </w:r>
      <w:proofErr w:type="gramStart"/>
      <w:r>
        <w:t>, conceda</w:t>
      </w:r>
      <w:proofErr w:type="gramEnd"/>
      <w:r>
        <w:t xml:space="preserve"> o benefício.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lastRenderedPageBreak/>
        <w:tab/>
      </w:r>
      <w:r>
        <w:tab/>
        <w:t xml:space="preserve">Paragrafo único. Para requerer o benefício, o usuário deverá comprovar os requisitos dispostos no artigo 2° desta Lei e, apresentar seu CPF, documento de identidade com foto e uma fatura de água/esgoto. No caso da fatura não está em nome do beneficiário, este deverá apresentar um documento que comprove vínculo com o imóvel (contrato de compra e </w:t>
      </w:r>
      <w:proofErr w:type="gramStart"/>
      <w:r>
        <w:t>venda,</w:t>
      </w:r>
      <w:proofErr w:type="gramEnd"/>
      <w:r>
        <w:t xml:space="preserve"> contrato de aluguel, guia de IPTU, Registro do imóvel).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5°</w:t>
      </w:r>
      <w:r>
        <w:t xml:space="preserve"> O benefício da Tarifa Social será concedido através da redução percentual sobre o valor normal praticado em comparação a faixa de consumo, sendo os seguintes: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 xml:space="preserve">I – consumo de até </w:t>
      </w:r>
      <w:proofErr w:type="gramStart"/>
      <w:r>
        <w:t>6</w:t>
      </w:r>
      <w:proofErr w:type="gramEnd"/>
      <w:r>
        <w:t xml:space="preserve"> m³ (metros cúbicos), será aplicada a redução de 40%;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II – consumo de 6 a 10 m³ (metros cúbicos), será aplicada a redução de 20%;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III – consumo de 10 a 15 m³ (metros cúbicos), será aplicada a redução de 10%;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  <w:t>IV – consumo de 15 a 30 m³ (metros cúbicos), será aplicada a redução de 5%.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6°</w:t>
      </w:r>
      <w:r>
        <w:t xml:space="preserve"> Fica revogado o parágrafo único do art. 112 da Lei n° 5,749 de 18 de dezembro de 1998.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</w:pPr>
      <w:r>
        <w:rPr>
          <w:b/>
          <w:bCs/>
        </w:rPr>
        <w:tab/>
      </w:r>
      <w:r>
        <w:rPr>
          <w:b/>
          <w:bCs/>
        </w:rPr>
        <w:tab/>
        <w:t>Art. 7°</w:t>
      </w:r>
      <w:r>
        <w:t xml:space="preserve"> Esta Lei entra em vigor na data da sua publicação.</w:t>
      </w:r>
    </w:p>
    <w:p w:rsidR="00990312" w:rsidRDefault="00990312" w:rsidP="00990312">
      <w:pPr>
        <w:spacing w:line="200" w:lineRule="atLeast"/>
        <w:jc w:val="both"/>
      </w:pPr>
    </w:p>
    <w:p w:rsidR="00990312" w:rsidRDefault="00990312" w:rsidP="00990312">
      <w:pPr>
        <w:spacing w:line="200" w:lineRule="atLeast"/>
        <w:jc w:val="both"/>
        <w:rPr>
          <w:b/>
        </w:rPr>
      </w:pPr>
      <w:r>
        <w:tab/>
      </w:r>
    </w:p>
    <w:p w:rsidR="00990312" w:rsidRDefault="00990312" w:rsidP="00990312">
      <w:pPr>
        <w:spacing w:line="200" w:lineRule="atLeast"/>
        <w:rPr>
          <w:b/>
        </w:rPr>
      </w:pPr>
    </w:p>
    <w:p w:rsidR="00990312" w:rsidRDefault="00990312" w:rsidP="00990312">
      <w:pPr>
        <w:spacing w:line="200" w:lineRule="atLeast"/>
        <w:rPr>
          <w:b/>
        </w:rPr>
      </w:pPr>
    </w:p>
    <w:p w:rsidR="00990312" w:rsidRDefault="00990312" w:rsidP="00990312">
      <w:pPr>
        <w:spacing w:line="200" w:lineRule="atLeast"/>
        <w:jc w:val="center"/>
        <w:rPr>
          <w:b/>
        </w:rPr>
      </w:pPr>
    </w:p>
    <w:p w:rsidR="00990312" w:rsidRDefault="00990312" w:rsidP="00990312">
      <w:pPr>
        <w:spacing w:line="200" w:lineRule="atLeast"/>
        <w:jc w:val="center"/>
        <w:rPr>
          <w:rStyle w:val="Forte"/>
          <w:kern w:val="1"/>
          <w:lang w:val="es-ES_tradnl"/>
        </w:rPr>
      </w:pPr>
      <w:r>
        <w:t>Pr. FABRÍCIO NASCIMENTO</w:t>
      </w: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  <w:r>
        <w:rPr>
          <w:rStyle w:val="Forte"/>
          <w:kern w:val="1"/>
          <w:lang w:val="es-ES_tradnl"/>
        </w:rPr>
        <w:t xml:space="preserve">  VEREADOR</w:t>
      </w:r>
      <w:r>
        <w:rPr>
          <w:rStyle w:val="Forte"/>
          <w:b w:val="0"/>
          <w:bCs w:val="0"/>
          <w:lang w:val="es-ES_tradnl"/>
        </w:rPr>
        <w:t>/PRB</w:t>
      </w: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line="200" w:lineRule="atLeast"/>
        <w:jc w:val="center"/>
      </w:pPr>
      <w:r>
        <w:rPr>
          <w:b/>
          <w:bCs/>
          <w:i/>
          <w:iCs/>
          <w:noProof/>
          <w:sz w:val="22"/>
          <w:szCs w:val="22"/>
          <w:lang w:eastAsia="pt-BR"/>
        </w:rPr>
        <w:drawing>
          <wp:inline distT="0" distB="0" distL="0" distR="0">
            <wp:extent cx="6115685" cy="9378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937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90312" w:rsidRDefault="00990312" w:rsidP="00990312">
      <w:pPr>
        <w:shd w:val="clear" w:color="auto" w:fill="FFFFFF"/>
        <w:spacing w:line="200" w:lineRule="atLeast"/>
        <w:jc w:val="center"/>
      </w:pPr>
      <w:r>
        <w:t>Justificativa</w:t>
      </w:r>
    </w:p>
    <w:p w:rsidR="00990312" w:rsidRDefault="00990312" w:rsidP="00990312">
      <w:pPr>
        <w:shd w:val="clear" w:color="auto" w:fill="FFFFFF"/>
        <w:spacing w:line="200" w:lineRule="atLeast"/>
        <w:jc w:val="center"/>
      </w:pPr>
    </w:p>
    <w:p w:rsidR="00990312" w:rsidRDefault="00990312" w:rsidP="00990312">
      <w:pPr>
        <w:shd w:val="clear" w:color="auto" w:fill="FFFFFF"/>
        <w:spacing w:line="360" w:lineRule="auto"/>
        <w:jc w:val="both"/>
        <w:rPr>
          <w:kern w:val="1"/>
          <w:lang/>
        </w:rPr>
      </w:pPr>
      <w:r>
        <w:tab/>
      </w:r>
      <w:r>
        <w:tab/>
        <w:t>Basicamente, em quase todas as Tarifas Sociais praticadas (Serviços de Água e Esgoto, Energia Elétrica), sua função é promover a redução do valor de contas dos usuários residenciais de baixa renda ou outras especificações</w:t>
      </w:r>
      <w:r>
        <w:rPr>
          <w:kern w:val="1"/>
          <w:lang/>
        </w:rPr>
        <w:t>. Essa medida é de fundamental importância para quem dela necessita, visto que o compromisso maior a Assistência Social, é disposta no artigo 203 da Constituição Federal.</w:t>
      </w:r>
    </w:p>
    <w:p w:rsidR="00990312" w:rsidRDefault="00990312" w:rsidP="00990312">
      <w:pPr>
        <w:shd w:val="clear" w:color="auto" w:fill="FFFFFF"/>
        <w:spacing w:line="360" w:lineRule="auto"/>
        <w:jc w:val="both"/>
        <w:rPr>
          <w:kern w:val="1"/>
          <w:lang/>
        </w:rPr>
      </w:pPr>
      <w:r>
        <w:rPr>
          <w:kern w:val="1"/>
          <w:lang/>
        </w:rPr>
        <w:tab/>
      </w:r>
      <w:r>
        <w:rPr>
          <w:kern w:val="1"/>
          <w:lang/>
        </w:rPr>
        <w:tab/>
        <w:t xml:space="preserve">Vários trabalhadores, hoje responsáveis pelo sustento familiar, necessitaram trabalhar desde jovens para complementar a renda de suas famílias quando ainda pertencentes a ela. Com isso, boa parte dessas pessoas deixaram de completar seus estudos, o que atualmente, evidencia </w:t>
      </w:r>
      <w:proofErr w:type="gramStart"/>
      <w:r>
        <w:rPr>
          <w:kern w:val="1"/>
          <w:lang/>
        </w:rPr>
        <w:t>um certo</w:t>
      </w:r>
      <w:proofErr w:type="gramEnd"/>
      <w:r>
        <w:rPr>
          <w:kern w:val="1"/>
          <w:lang/>
        </w:rPr>
        <w:t xml:space="preserve"> despreparo para o mercado de trabalho, considerando o seu nível de escolaridade. O que certamente propicia a esse indivíduo, chances profissionais com baixa remuneração.</w:t>
      </w:r>
    </w:p>
    <w:p w:rsidR="00990312" w:rsidRDefault="00990312" w:rsidP="00990312">
      <w:pPr>
        <w:shd w:val="clear" w:color="auto" w:fill="FFFFFF"/>
        <w:spacing w:line="360" w:lineRule="auto"/>
        <w:jc w:val="both"/>
        <w:rPr>
          <w:rFonts w:eastAsia="LiberationSans"/>
          <w:u w:val="single"/>
        </w:rPr>
      </w:pPr>
      <w:r>
        <w:rPr>
          <w:kern w:val="1"/>
          <w:lang/>
        </w:rPr>
        <w:tab/>
      </w:r>
      <w:r>
        <w:rPr>
          <w:kern w:val="1"/>
          <w:lang/>
        </w:rPr>
        <w:tab/>
        <w:t xml:space="preserve">Em Sete Lagoas, através da Lei Municipal n° 7.540/08 são alterados algumas disposições da Lei Municipal n° 5.749/98, que regulamenta os serviços públicos de água e esgoto, prestados pelo Serviço Autônomo de Água e Esgoto – SAAE. O artigo 4° da Lei n° 7.540/08, acrescenta o seguinte parágrafo único ao artigo 112 da Lei n° 5.749/98: </w:t>
      </w:r>
      <w:r>
        <w:rPr>
          <w:kern w:val="1"/>
          <w:u w:val="single"/>
          <w:lang/>
        </w:rPr>
        <w:t>“</w:t>
      </w:r>
      <w:r>
        <w:rPr>
          <w:rFonts w:eastAsia="LiberationSans"/>
          <w:u w:val="single"/>
        </w:rPr>
        <w:t xml:space="preserve">Para casos especiais, comprovado o necessário atendimento social, mediante certidão expedida pela Secretaria Municipal de Justiça Social, após sindicância, poderá ser atribuída tarifa social, no valor correspondente a 30% do </w:t>
      </w:r>
      <w:proofErr w:type="gramStart"/>
      <w:r>
        <w:rPr>
          <w:rFonts w:eastAsia="LiberationSans"/>
          <w:u w:val="single"/>
        </w:rPr>
        <w:t>valor</w:t>
      </w:r>
      <w:proofErr w:type="gramEnd"/>
      <w:r>
        <w:rPr>
          <w:rFonts w:eastAsia="LiberationSans"/>
          <w:u w:val="single"/>
        </w:rPr>
        <w:t xml:space="preserve"> </w:t>
      </w:r>
    </w:p>
    <w:p w:rsidR="00990312" w:rsidRDefault="00990312" w:rsidP="00990312">
      <w:pPr>
        <w:shd w:val="clear" w:color="auto" w:fill="FFFFFF"/>
        <w:spacing w:line="360" w:lineRule="auto"/>
        <w:jc w:val="both"/>
        <w:rPr>
          <w:kern w:val="1"/>
          <w:lang/>
        </w:rPr>
      </w:pPr>
      <w:proofErr w:type="gramStart"/>
      <w:r>
        <w:rPr>
          <w:rFonts w:eastAsia="LiberationSans"/>
          <w:u w:val="single"/>
        </w:rPr>
        <w:t>da</w:t>
      </w:r>
      <w:proofErr w:type="gramEnd"/>
      <w:r>
        <w:rPr>
          <w:rFonts w:eastAsia="LiberationSans"/>
          <w:u w:val="single"/>
        </w:rPr>
        <w:t xml:space="preserve"> tarifa mínima.".</w:t>
      </w:r>
      <w:r>
        <w:rPr>
          <w:rFonts w:eastAsia="LiberationSans"/>
        </w:rPr>
        <w:t xml:space="preserve"> </w:t>
      </w:r>
      <w:r>
        <w:rPr>
          <w:kern w:val="1"/>
          <w:lang/>
        </w:rPr>
        <w:t>No parágrafo é estipulado um valor percentual para o pagamento, porém, não é vinculado ao consumo. Também, não é definido se a tarifa social poderá ser usufruída em outras categorias de imóveis (residencial, comercial, etc.)  Outro detalhe, é a não estipulação de critérios para a obtenção e/ou perda do benefício. Cabendo a Secretaria responsável (Assistência Social), a realização de sindicância para que a tarifa seja atribuída.</w:t>
      </w:r>
    </w:p>
    <w:p w:rsidR="00990312" w:rsidRDefault="00990312" w:rsidP="00990312">
      <w:pPr>
        <w:shd w:val="clear" w:color="auto" w:fill="FFFFFF"/>
        <w:spacing w:line="360" w:lineRule="auto"/>
        <w:jc w:val="both"/>
        <w:rPr>
          <w:kern w:val="1"/>
          <w:lang/>
        </w:rPr>
      </w:pPr>
      <w:r>
        <w:rPr>
          <w:kern w:val="1"/>
          <w:lang/>
        </w:rPr>
        <w:lastRenderedPageBreak/>
        <w:tab/>
      </w:r>
      <w:r>
        <w:rPr>
          <w:kern w:val="1"/>
          <w:lang/>
        </w:rPr>
        <w:tab/>
        <w:t>O Anteprojeto de Lei proposto</w:t>
      </w:r>
      <w:proofErr w:type="gramStart"/>
      <w:r>
        <w:rPr>
          <w:kern w:val="1"/>
          <w:lang/>
        </w:rPr>
        <w:t>, tem</w:t>
      </w:r>
      <w:proofErr w:type="gramEnd"/>
      <w:r>
        <w:rPr>
          <w:kern w:val="1"/>
          <w:lang/>
        </w:rPr>
        <w:t xml:space="preserve"> por finalidade estabelecer critérios para a obtenção e perda da Tarifa Social e estabelecer a redução no valor da conta, através da faixa de consumo da família (QUADRO I), beneficiando ao usuário com a redução e promovendo um consumo mais consciente. Todos os critérios usados, foram baseados no projeto de Tarifa Social para serviços de água e esgoto da Companhia de Saneamento de Minas Gerais – COPASA, sendo essa empresa regulada e fiscalizada pela Agência Reguladora de Serviços de Abastecimento de Água e Esgotamento Sanitário de Minas </w:t>
      </w:r>
      <w:proofErr w:type="gramStart"/>
      <w:r>
        <w:rPr>
          <w:kern w:val="1"/>
          <w:lang/>
        </w:rPr>
        <w:t>Gerias</w:t>
      </w:r>
      <w:proofErr w:type="gramEnd"/>
      <w:r>
        <w:rPr>
          <w:kern w:val="1"/>
          <w:lang/>
        </w:rPr>
        <w:t xml:space="preserve"> – ARSAE/MG.</w:t>
      </w:r>
    </w:p>
    <w:p w:rsidR="00990312" w:rsidRDefault="00990312" w:rsidP="00990312">
      <w:pPr>
        <w:shd w:val="clear" w:color="auto" w:fill="FFFFFF"/>
        <w:spacing w:line="360" w:lineRule="auto"/>
        <w:jc w:val="both"/>
      </w:pPr>
      <w:r>
        <w:rPr>
          <w:kern w:val="1"/>
          <w:lang/>
        </w:rPr>
        <w:tab/>
      </w:r>
      <w:r>
        <w:rPr>
          <w:kern w:val="1"/>
          <w:lang/>
        </w:rPr>
        <w:tab/>
        <w:t>Diante disso, peço o apoio dos vereadores presentes para a aprovação do presente Anteprojeto de Lei.</w:t>
      </w:r>
    </w:p>
    <w:p w:rsidR="00990312" w:rsidRDefault="00990312" w:rsidP="00990312">
      <w:pPr>
        <w:shd w:val="clear" w:color="auto" w:fill="FFFFFF"/>
        <w:spacing w:line="200" w:lineRule="atLeast"/>
        <w:jc w:val="both"/>
      </w:pPr>
    </w:p>
    <w:p w:rsidR="00990312" w:rsidRDefault="00990312" w:rsidP="00990312">
      <w:pPr>
        <w:shd w:val="clear" w:color="auto" w:fill="FFFFFF"/>
        <w:spacing w:line="200" w:lineRule="atLeast"/>
        <w:jc w:val="both"/>
      </w:pPr>
      <w:r>
        <w:rPr>
          <w:b/>
          <w:bCs/>
        </w:rPr>
        <w:t>QUADRO I</w:t>
      </w:r>
    </w:p>
    <w:p w:rsidR="00990312" w:rsidRDefault="00990312" w:rsidP="00990312">
      <w:pPr>
        <w:shd w:val="clear" w:color="auto" w:fill="FFFFFF"/>
        <w:spacing w:line="200" w:lineRule="atLeas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23.1pt;height:227.15pt;z-index:251659264;mso-wrap-distance-left:0;mso-wrap-distance-right:0;mso-position-horizontal:center;mso-position-horizontal-relative:text;mso-position-vertical:absolute;mso-position-vertical-relative:text" filled="t">
            <v:fill color2="black"/>
            <v:imagedata r:id="rId10" o:title=""/>
            <w10:wrap type="square" side="largest"/>
          </v:shape>
          <o:OLEObject Type="Embed" ProgID="Excel.Sheet.8" ShapeID="_x0000_s1026" DrawAspect="Content" ObjectID="_1560932292" r:id="rId11"/>
        </w:pict>
      </w:r>
    </w:p>
    <w:p w:rsidR="00990312" w:rsidRDefault="00990312" w:rsidP="00990312">
      <w:pPr>
        <w:shd w:val="clear" w:color="auto" w:fill="FFFFFF"/>
        <w:spacing w:line="200" w:lineRule="atLeast"/>
        <w:jc w:val="both"/>
      </w:pPr>
    </w:p>
    <w:p w:rsidR="00990312" w:rsidRDefault="00990312" w:rsidP="00990312">
      <w:pPr>
        <w:shd w:val="clear" w:color="auto" w:fill="FFFFFF"/>
        <w:spacing w:line="200" w:lineRule="atLeast"/>
        <w:jc w:val="both"/>
      </w:pPr>
    </w:p>
    <w:p w:rsidR="00990312" w:rsidRDefault="00990312" w:rsidP="00990312">
      <w:pPr>
        <w:shd w:val="clear" w:color="auto" w:fill="FFFFFF"/>
        <w:spacing w:line="200" w:lineRule="atLeast"/>
        <w:jc w:val="both"/>
      </w:pPr>
    </w:p>
    <w:p w:rsidR="00990312" w:rsidRDefault="00990312" w:rsidP="00990312">
      <w:pPr>
        <w:shd w:val="clear" w:color="auto" w:fill="FFFFFF"/>
        <w:spacing w:line="200" w:lineRule="atLeast"/>
        <w:jc w:val="both"/>
      </w:pPr>
    </w:p>
    <w:p w:rsidR="00990312" w:rsidRDefault="00990312" w:rsidP="00990312">
      <w:pPr>
        <w:spacing w:line="200" w:lineRule="atLeast"/>
        <w:jc w:val="center"/>
      </w:pPr>
      <w:r>
        <w:rPr>
          <w:kern w:val="1"/>
          <w:lang/>
        </w:rPr>
        <w:t xml:space="preserve">Sala das Sessões, </w:t>
      </w:r>
      <w:r w:rsidR="008B5FF8">
        <w:rPr>
          <w:kern w:val="1"/>
          <w:lang/>
        </w:rPr>
        <w:t>07 DE Julho de 2017.</w:t>
      </w:r>
    </w:p>
    <w:p w:rsidR="00990312" w:rsidRDefault="00990312" w:rsidP="00990312">
      <w:pPr>
        <w:spacing w:line="200" w:lineRule="atLeast"/>
        <w:jc w:val="center"/>
      </w:pPr>
    </w:p>
    <w:p w:rsidR="00990312" w:rsidRDefault="00990312" w:rsidP="00990312">
      <w:pPr>
        <w:spacing w:line="200" w:lineRule="atLeast"/>
        <w:jc w:val="center"/>
      </w:pPr>
    </w:p>
    <w:p w:rsidR="00990312" w:rsidRDefault="00990312" w:rsidP="00990312">
      <w:pPr>
        <w:spacing w:line="200" w:lineRule="atLeast"/>
        <w:jc w:val="center"/>
        <w:rPr>
          <w:b/>
        </w:rPr>
      </w:pPr>
    </w:p>
    <w:p w:rsidR="00990312" w:rsidRDefault="00990312" w:rsidP="00990312">
      <w:pPr>
        <w:spacing w:line="200" w:lineRule="atLeast"/>
        <w:jc w:val="center"/>
        <w:rPr>
          <w:b/>
        </w:rPr>
      </w:pPr>
    </w:p>
    <w:p w:rsidR="00990312" w:rsidRDefault="00990312" w:rsidP="00990312">
      <w:pPr>
        <w:spacing w:line="200" w:lineRule="atLeast"/>
        <w:jc w:val="center"/>
        <w:rPr>
          <w:rStyle w:val="Forte"/>
          <w:kern w:val="1"/>
          <w:lang w:val="es-ES_tradnl"/>
        </w:rPr>
      </w:pPr>
      <w:r>
        <w:t xml:space="preserve">Pr. </w:t>
      </w:r>
      <w:r w:rsidR="008B5FF8">
        <w:t>FABRÍCIO NASCIMENTO</w:t>
      </w: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  <w:r>
        <w:rPr>
          <w:rStyle w:val="Forte"/>
          <w:kern w:val="1"/>
          <w:lang w:val="es-ES_tradnl"/>
        </w:rPr>
        <w:t xml:space="preserve">  VEREADOR</w:t>
      </w:r>
      <w:r w:rsidR="008B5FF8">
        <w:rPr>
          <w:rStyle w:val="Forte"/>
          <w:kern w:val="1"/>
          <w:lang w:val="es-ES_tradnl"/>
        </w:rPr>
        <w:t>/PRB</w:t>
      </w:r>
      <w:bookmarkStart w:id="0" w:name="_GoBack"/>
      <w:bookmarkEnd w:id="0"/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990312" w:rsidRDefault="00990312" w:rsidP="00990312">
      <w:pPr>
        <w:shd w:val="clear" w:color="auto" w:fill="FFFFFF"/>
        <w:spacing w:before="120" w:line="200" w:lineRule="atLeast"/>
        <w:jc w:val="center"/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Pr="00FF13DE" w:rsidRDefault="00F87E68" w:rsidP="00093220">
      <w:pPr>
        <w:rPr>
          <w:rFonts w:ascii="Tahoma" w:hAnsi="Tahoma" w:cs="Tahoma"/>
          <w:sz w:val="32"/>
          <w:szCs w:val="32"/>
        </w:rPr>
      </w:pPr>
    </w:p>
    <w:sectPr w:rsidR="00F87E68" w:rsidRPr="00FF13DE" w:rsidSect="00ED51F9">
      <w:headerReference w:type="default" r:id="rId12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C9" w:rsidRDefault="00B44BC9" w:rsidP="00BF023D">
      <w:pPr>
        <w:spacing w:line="240" w:lineRule="auto"/>
      </w:pPr>
      <w:r>
        <w:separator/>
      </w:r>
    </w:p>
  </w:endnote>
  <w:endnote w:type="continuationSeparator" w:id="0">
    <w:p w:rsidR="00B44BC9" w:rsidRDefault="00B44BC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C9" w:rsidRDefault="00B44BC9" w:rsidP="00BF023D">
      <w:pPr>
        <w:spacing w:line="240" w:lineRule="auto"/>
      </w:pPr>
      <w:r>
        <w:separator/>
      </w:r>
    </w:p>
  </w:footnote>
  <w:footnote w:type="continuationSeparator" w:id="0">
    <w:p w:rsidR="00B44BC9" w:rsidRDefault="00B44BC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E6F18"/>
    <w:rsid w:val="000F5346"/>
    <w:rsid w:val="001013F8"/>
    <w:rsid w:val="001043EE"/>
    <w:rsid w:val="001373BB"/>
    <w:rsid w:val="001600F2"/>
    <w:rsid w:val="00160935"/>
    <w:rsid w:val="0016166D"/>
    <w:rsid w:val="00181538"/>
    <w:rsid w:val="001B3BE0"/>
    <w:rsid w:val="001B6F16"/>
    <w:rsid w:val="001D4EEC"/>
    <w:rsid w:val="00211D42"/>
    <w:rsid w:val="00223F09"/>
    <w:rsid w:val="002263C6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2D0C52"/>
    <w:rsid w:val="0031799A"/>
    <w:rsid w:val="00342F56"/>
    <w:rsid w:val="0037115A"/>
    <w:rsid w:val="003738CD"/>
    <w:rsid w:val="00374D85"/>
    <w:rsid w:val="00394F25"/>
    <w:rsid w:val="003B4CBC"/>
    <w:rsid w:val="003D3811"/>
    <w:rsid w:val="003D748D"/>
    <w:rsid w:val="00420379"/>
    <w:rsid w:val="00426DD3"/>
    <w:rsid w:val="004350D9"/>
    <w:rsid w:val="004416F1"/>
    <w:rsid w:val="00462ED1"/>
    <w:rsid w:val="004743CB"/>
    <w:rsid w:val="004766DC"/>
    <w:rsid w:val="00485349"/>
    <w:rsid w:val="00495DC8"/>
    <w:rsid w:val="004E3E50"/>
    <w:rsid w:val="004F5150"/>
    <w:rsid w:val="00501E55"/>
    <w:rsid w:val="00502FC4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16A80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A724E"/>
    <w:rsid w:val="007B508D"/>
    <w:rsid w:val="007B6661"/>
    <w:rsid w:val="007D151E"/>
    <w:rsid w:val="007E0F7A"/>
    <w:rsid w:val="007E3731"/>
    <w:rsid w:val="00804CC4"/>
    <w:rsid w:val="00817C45"/>
    <w:rsid w:val="00866A61"/>
    <w:rsid w:val="0087540C"/>
    <w:rsid w:val="00890D8D"/>
    <w:rsid w:val="0089121C"/>
    <w:rsid w:val="008B428F"/>
    <w:rsid w:val="008B5FF8"/>
    <w:rsid w:val="008C1460"/>
    <w:rsid w:val="008E2B9F"/>
    <w:rsid w:val="008F0AE3"/>
    <w:rsid w:val="008F4155"/>
    <w:rsid w:val="008F416C"/>
    <w:rsid w:val="009075F0"/>
    <w:rsid w:val="009154D2"/>
    <w:rsid w:val="00915A20"/>
    <w:rsid w:val="00925C72"/>
    <w:rsid w:val="00932BD2"/>
    <w:rsid w:val="0096159D"/>
    <w:rsid w:val="00990312"/>
    <w:rsid w:val="009C4FF1"/>
    <w:rsid w:val="009D3926"/>
    <w:rsid w:val="009E1E18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44BC9"/>
    <w:rsid w:val="00B8288C"/>
    <w:rsid w:val="00B848E1"/>
    <w:rsid w:val="00B9433F"/>
    <w:rsid w:val="00BA3CC8"/>
    <w:rsid w:val="00BA5B7C"/>
    <w:rsid w:val="00BC0B70"/>
    <w:rsid w:val="00BF023D"/>
    <w:rsid w:val="00C05501"/>
    <w:rsid w:val="00C15158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3192C"/>
    <w:rsid w:val="00D3617A"/>
    <w:rsid w:val="00D711EA"/>
    <w:rsid w:val="00D72778"/>
    <w:rsid w:val="00D82E5D"/>
    <w:rsid w:val="00D8357B"/>
    <w:rsid w:val="00D92C7C"/>
    <w:rsid w:val="00DA4E3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838C0"/>
    <w:rsid w:val="00F87E68"/>
    <w:rsid w:val="00F965A5"/>
    <w:rsid w:val="00F97CD5"/>
    <w:rsid w:val="00FC5501"/>
    <w:rsid w:val="00FD5F08"/>
    <w:rsid w:val="00FE38A6"/>
    <w:rsid w:val="00FE6D78"/>
    <w:rsid w:val="00FE71D8"/>
    <w:rsid w:val="00FF13DE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990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990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794C-F03E-4D08-A2B5-29A2A1F0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2017-07-07T14:02:00Z</cp:lastPrinted>
  <dcterms:created xsi:type="dcterms:W3CDTF">2017-07-07T14:32:00Z</dcterms:created>
  <dcterms:modified xsi:type="dcterms:W3CDTF">2017-07-07T14:32:00Z</dcterms:modified>
</cp:coreProperties>
</file>