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E18CF" w:rsidRPr="006E338F" w:rsidRDefault="007051D7" w:rsidP="007E18CF">
      <w:pPr>
        <w:pStyle w:val="SemEspaamento"/>
        <w:jc w:val="both"/>
        <w:rPr>
          <w:rFonts w:ascii="Times New Roman" w:hAnsi="Times New Roman" w:cs="Times New Roman"/>
          <w:b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8936BB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8936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8936BB">
        <w:rPr>
          <w:rFonts w:ascii="Times New Roman" w:hAnsi="Times New Roman" w:cs="Times New Roman"/>
          <w:b/>
          <w:bCs/>
          <w:sz w:val="24"/>
          <w:szCs w:val="24"/>
        </w:rPr>
        <w:t>Nº 095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8D583B">
        <w:rPr>
          <w:rFonts w:ascii="Times New Roman" w:hAnsi="Times New Roman" w:cs="Times New Roman"/>
          <w:sz w:val="24"/>
          <w:szCs w:val="24"/>
        </w:rPr>
        <w:t xml:space="preserve">– </w:t>
      </w:r>
      <w:r w:rsidR="008936BB">
        <w:rPr>
          <w:rFonts w:ascii="Times New Roman" w:hAnsi="Times New Roman" w:cs="Times New Roman"/>
          <w:sz w:val="24"/>
          <w:szCs w:val="24"/>
        </w:rPr>
        <w:t>DISPÕE SOBRE O PROJETO “CIDADE LIMA” E DÁ OUTRAS PROVIDÊNCIAS.</w:t>
      </w:r>
    </w:p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8936BB">
        <w:rPr>
          <w:rFonts w:ascii="Times New Roman" w:hAnsi="Times New Roman" w:cs="Times New Roman"/>
          <w:sz w:val="24"/>
          <w:szCs w:val="24"/>
        </w:rPr>
        <w:t>ALCIDES LONGO DE BARROS</w:t>
      </w:r>
    </w:p>
    <w:p w:rsidR="007051D7" w:rsidRPr="004C6417" w:rsidRDefault="007051D7" w:rsidP="007051D7">
      <w:pPr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E18CF" w:rsidRDefault="007E18CF" w:rsidP="007E18CF">
      <w:pPr>
        <w:pStyle w:val="SemEspaamento"/>
        <w:ind w:firstLine="3544"/>
        <w:jc w:val="both"/>
        <w:rPr>
          <w:sz w:val="28"/>
          <w:szCs w:val="28"/>
        </w:rPr>
      </w:pPr>
    </w:p>
    <w:p w:rsidR="007051D7" w:rsidRPr="007E18CF" w:rsidRDefault="007E18CF" w:rsidP="007E18CF">
      <w:pPr>
        <w:pStyle w:val="SemEspaamento"/>
        <w:jc w:val="both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t xml:space="preserve">          </w:t>
      </w:r>
      <w:r w:rsidR="00A3591C">
        <w:rPr>
          <w:sz w:val="28"/>
          <w:szCs w:val="28"/>
        </w:rPr>
        <w:tab/>
      </w:r>
      <w:r w:rsidR="00A3591C">
        <w:rPr>
          <w:sz w:val="28"/>
          <w:szCs w:val="28"/>
        </w:rPr>
        <w:tab/>
      </w:r>
      <w:r w:rsidR="008936BB">
        <w:rPr>
          <w:sz w:val="28"/>
          <w:szCs w:val="28"/>
        </w:rPr>
        <w:t>O Anteprojeto de Lei nº 095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8936BB" w:rsidRPr="008936BB">
        <w:rPr>
          <w:rFonts w:ascii="Times New Roman" w:hAnsi="Times New Roman" w:cs="Times New Roman"/>
          <w:sz w:val="24"/>
          <w:szCs w:val="24"/>
        </w:rPr>
        <w:t xml:space="preserve"> </w:t>
      </w:r>
      <w:r w:rsidR="008936BB">
        <w:rPr>
          <w:rFonts w:ascii="Times New Roman" w:hAnsi="Times New Roman" w:cs="Times New Roman"/>
          <w:sz w:val="24"/>
          <w:szCs w:val="24"/>
        </w:rPr>
        <w:t>DISPÕE SOBRE O PROJETO “CIDADE LIMA” E DÁ OUTRAS PROVIDÊNCIAS.</w:t>
      </w:r>
      <w:r w:rsidR="004C6417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 xml:space="preserve">de autoria </w:t>
      </w:r>
      <w:r w:rsidR="00B1559F" w:rsidRPr="004C6417">
        <w:rPr>
          <w:sz w:val="28"/>
          <w:szCs w:val="28"/>
        </w:rPr>
        <w:t>do</w:t>
      </w:r>
      <w:r w:rsidR="008D583B" w:rsidRPr="004C6417">
        <w:rPr>
          <w:rFonts w:ascii="Times New Roman" w:hAnsi="Times New Roman" w:cs="Times New Roman"/>
          <w:sz w:val="28"/>
          <w:szCs w:val="28"/>
        </w:rPr>
        <w:t xml:space="preserve"> </w:t>
      </w:r>
      <w:r w:rsidR="008936BB">
        <w:rPr>
          <w:rFonts w:ascii="Calibri" w:hAnsi="Calibri" w:cs="Calibri"/>
          <w:sz w:val="28"/>
          <w:szCs w:val="28"/>
        </w:rPr>
        <w:t>Vereador Alcides Longo de Barros</w:t>
      </w:r>
      <w:r w:rsidR="00B1559F" w:rsidRPr="004C6417">
        <w:rPr>
          <w:rFonts w:ascii="Calibri" w:hAnsi="Calibri" w:cs="Calibri"/>
          <w:sz w:val="28"/>
          <w:szCs w:val="28"/>
        </w:rPr>
        <w:t>,</w:t>
      </w:r>
      <w:r w:rsidR="00B1559F" w:rsidRPr="004C6417">
        <w:rPr>
          <w:rFonts w:ascii="Calibri Light" w:hAnsi="Calibri Light" w:cs="Calibri Light"/>
          <w:sz w:val="24"/>
          <w:szCs w:val="24"/>
        </w:rPr>
        <w:t xml:space="preserve">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A3591C">
      <w:pPr>
        <w:pStyle w:val="Recuodecorpodetexto21"/>
        <w:ind w:firstLine="1416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</w:r>
      <w:r w:rsidR="00A3591C">
        <w:rPr>
          <w:rFonts w:ascii="Times New Roman" w:hAnsi="Times New Roman" w:cs="Times New Roman"/>
          <w:sz w:val="28"/>
          <w:szCs w:val="28"/>
        </w:rPr>
        <w:tab/>
      </w:r>
      <w:r w:rsidRPr="007051D7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225269" w:rsidRDefault="00225269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rFonts w:ascii="Bitstream Vera Sans" w:eastAsiaTheme="minorHAnsi" w:hAnsi="Bitstream Vera Sans" w:cs="Bitstream Vera Sans"/>
          <w:bCs w:val="0"/>
          <w:sz w:val="28"/>
          <w:szCs w:val="28"/>
        </w:rPr>
      </w:pPr>
    </w:p>
    <w:p w:rsidR="007E18CF" w:rsidRPr="007E18CF" w:rsidRDefault="007E18CF" w:rsidP="007E18CF"/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8936BB">
        <w:rPr>
          <w:sz w:val="24"/>
          <w:szCs w:val="24"/>
        </w:rPr>
        <w:t>095</w:t>
      </w:r>
      <w:r>
        <w:rPr>
          <w:sz w:val="24"/>
          <w:szCs w:val="24"/>
        </w:rPr>
        <w:t>/2017</w:t>
      </w:r>
    </w:p>
    <w:p w:rsidR="007051D7" w:rsidRPr="004C641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b w:val="0"/>
          <w:sz w:val="24"/>
          <w:szCs w:val="24"/>
        </w:rPr>
      </w:pPr>
      <w:r w:rsidRPr="004C6417">
        <w:rPr>
          <w:b w:val="0"/>
          <w:sz w:val="24"/>
          <w:szCs w:val="24"/>
        </w:rPr>
        <w:t>AUTORIA:</w:t>
      </w:r>
      <w:r w:rsidR="006A3E47" w:rsidRPr="004C6417">
        <w:rPr>
          <w:b w:val="0"/>
          <w:sz w:val="24"/>
          <w:szCs w:val="24"/>
        </w:rPr>
        <w:t xml:space="preserve"> V</w:t>
      </w:r>
      <w:r w:rsidR="00385E9F" w:rsidRPr="004C6417">
        <w:rPr>
          <w:b w:val="0"/>
          <w:sz w:val="24"/>
          <w:szCs w:val="24"/>
        </w:rPr>
        <w:t xml:space="preserve">EREADOR </w:t>
      </w:r>
      <w:r w:rsidR="008936BB">
        <w:rPr>
          <w:b w:val="0"/>
          <w:sz w:val="24"/>
          <w:szCs w:val="24"/>
        </w:rPr>
        <w:t>ALCIDES LONGO DE BARROS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212D5B" w:rsidRDefault="007051D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E338F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6E338F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4C6417" w:rsidRDefault="004C6417" w:rsidP="006E338F">
      <w:pPr>
        <w:pStyle w:val="SemEspaamen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C6417" w:rsidRPr="006E338F" w:rsidRDefault="004C6417" w:rsidP="006E338F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8936BB" w:rsidRDefault="008936BB" w:rsidP="008936BB">
      <w:pPr>
        <w:pStyle w:val="Corpodetexto"/>
        <w:ind w:left="3544"/>
        <w:jc w:val="both"/>
        <w:rPr>
          <w:b/>
        </w:rPr>
      </w:pPr>
      <w:r>
        <w:rPr>
          <w:b/>
        </w:rPr>
        <w:t>DISPÕE SOBRE O PROJETO “CIDADE LIMPA” E DÁ OUTRAS PROVIDÊNCIAS.</w:t>
      </w:r>
    </w:p>
    <w:p w:rsidR="008936BB" w:rsidRDefault="008936BB" w:rsidP="008936BB">
      <w:pPr>
        <w:pStyle w:val="Corpodetexto"/>
        <w:spacing w:after="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  <w:rPr>
          <w:rFonts w:ascii="Liberation Serif" w:hAnsi="Liberation Serif" w:cs="DejaVu Sans"/>
        </w:rPr>
      </w:pPr>
      <w:r>
        <w:t>Art. 1º – Fica estabelecido no Município de Sete Lagoas/MG, o Projeto “</w:t>
      </w:r>
      <w:r>
        <w:rPr>
          <w:i/>
        </w:rPr>
        <w:t>Cidade Limpa</w:t>
      </w:r>
      <w:r>
        <w:t>”, que tem como objetivo precípuo manter limpa a cidade, sendo que o Município poderá estabelecer parceria com entidades sociais, empresas privadas ou pessoas físicas interessadas em financiar a instalação e manutenção de lixeiras públicas no Município, com direito a publicidade.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Parágrafo único. As lixeiras poderão ser instaladas defronte ao estabelecimento do interessado ou em qualquer outro lugar de sua escolha.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 xml:space="preserve">Art.2º- </w:t>
      </w:r>
      <w:proofErr w:type="gramStart"/>
      <w:r>
        <w:t>São</w:t>
      </w:r>
      <w:proofErr w:type="gramEnd"/>
      <w:r>
        <w:t xml:space="preserve"> objetivos do projeto “</w:t>
      </w:r>
      <w:r>
        <w:rPr>
          <w:i/>
        </w:rPr>
        <w:t>Cidade Limpa</w:t>
      </w:r>
      <w:r>
        <w:t>”:</w:t>
      </w:r>
    </w:p>
    <w:p w:rsidR="008936BB" w:rsidRDefault="008936BB" w:rsidP="008936BB">
      <w:pPr>
        <w:pStyle w:val="Corpodetexto"/>
        <w:spacing w:after="0"/>
        <w:ind w:firstLine="2410"/>
        <w:jc w:val="both"/>
        <w:rPr>
          <w:rFonts w:ascii="Liberation Serif" w:hAnsi="Liberation Serif" w:cs="DejaVu Sans"/>
        </w:rPr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I - A preservação da limpeza;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II - A garantia do bom estado de conservação das áreas de lazer e logradouros públicos em geral;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III - Aumento do número de lixeiras na cidade;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IV - Estimular a reciclagem e melhoria da limpeza pública municipal;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V - A redução das despesas do Município com a instalação e manutenção das lixeiras públicas;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VI - Estímulo à parceria público-privado.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  <w:rPr>
          <w:rFonts w:ascii="Liberation Serif" w:hAnsi="Liberation Serif" w:cs="DejaVu Sans"/>
        </w:rPr>
      </w:pPr>
      <w:r>
        <w:t xml:space="preserve">Art.3º - As lixeiras a serem instaladas e mantidas por pessoas físicas, entidades sociais ou empresas privadas do Município seguirão padronização nas cores e formatos tecnicamente </w:t>
      </w:r>
      <w:proofErr w:type="gramStart"/>
      <w:r>
        <w:t>especificados pela Prefeitura, contendo a inscrição do “</w:t>
      </w:r>
      <w:r>
        <w:rPr>
          <w:i/>
        </w:rPr>
        <w:t>Projeto Cidade Limpa</w:t>
      </w:r>
      <w:r>
        <w:t>”</w:t>
      </w:r>
      <w:proofErr w:type="gramEnd"/>
      <w:r>
        <w:t>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Parágrafo único. Deverá ser respeitada da distância mínima de 150m (cento e cinquenta metros) entre uma lixeira e outra.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lastRenderedPageBreak/>
        <w:t>Art. 4º - O órgão competente do Executivo Municipal receberá o requerimento da pessoa, entidade ou empresa interessada, instruído com os seguintes documentos: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I - Contrato Social, Estatuto devidamente registrado, ou carteira de identidade, CPF, comprovante de endereço de pessoa física;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II - Proposta, contendo a intenção da parceria;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Parágrafo único. Toda alteração na estrutura física, modelo/padrão, da lixeira a ser usada deverá ser previamente autorizada pelo órgão competente do Executivo Municipal.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Art. 5º - Poderá ser afixada, em local visível em consonância com projeto apresentado pelo Executivo, placa indicativa mencionando o nome, logomarca da instituição ou empresa privada parceira.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Parágrafo único. Fica proibida a afixação de placa indicativa mencionando o nome do adotante, no caso de parceria com pessoa física.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Art. 6º - Será obrigatoriamente celebrado entre o Executivo Municipal e parceiro privado, termo de compromisso, onde serão estabelecidos os critérios e condições da parceria.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§ 1º- As partes poderão rescindir o termo de compromisso a qualquer tempo, com comunicação prévia de 30 (trinta) dias.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§ 2º - Será anexado ao termo de compromisso laudo contendo a descrição modelo/padrão e as condições de uso da lixeira.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Art. 7º - O recolhimento dos lixos depositados nas respectivas lixeiras será realizado pelo órgão competente do poder público municipal e ou recicladores devidamente autorizados.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Art. 8º - A Guarda Municipal ficará responsável pela fiscalização e aplicação de multa relativa ao lixo jogado de dentro de veículos automotores, nas vias públicas do Município.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Parágrafo único: A receita proveniente dos valores arrecadados com a aplicação das multas mencionada no caput deste artigo poderá ser utilizada em campanhas educacionais, promovidas pelo Poder Executivo, buscando parceria junto à comunidade.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Art. 9º - Em casos omissos ou conflitantes fica o órgão competente do Executivo Municipal incumbido de solucionar e, nos casos pertinentes, deverá ser aplicada à legislação vigente de procedimentos licitatórios.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r>
        <w:t>Art. 10</w:t>
      </w:r>
      <w:proofErr w:type="gramStart"/>
      <w:r>
        <w:t xml:space="preserve"> </w:t>
      </w:r>
      <w:r>
        <w:t xml:space="preserve"> </w:t>
      </w:r>
      <w:proofErr w:type="gramEnd"/>
      <w:r>
        <w:t>- Deve o Município realizar ações que visem o estímulo da população e das empresas em participar do presente projeto, garantindo, assim, a limpeza e conservação das áreas de lazer e logradouros públicos em geral.</w:t>
      </w: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</w:p>
    <w:p w:rsidR="008936BB" w:rsidRDefault="008936BB" w:rsidP="008936BB">
      <w:pPr>
        <w:pStyle w:val="Corpodetexto"/>
        <w:spacing w:after="0"/>
        <w:ind w:firstLine="2410"/>
        <w:jc w:val="both"/>
      </w:pPr>
      <w:bookmarkStart w:id="0" w:name="_GoBack"/>
      <w:bookmarkEnd w:id="0"/>
      <w:r>
        <w:t>Art. 11 - Esta Lei entra em vigor na data de sua publicação.</w:t>
      </w:r>
    </w:p>
    <w:p w:rsidR="004C6417" w:rsidRDefault="004C6417" w:rsidP="004C6417">
      <w:pPr>
        <w:spacing w:line="276" w:lineRule="auto"/>
        <w:ind w:right="-1" w:firstLine="2410"/>
        <w:jc w:val="both"/>
        <w:rPr>
          <w:rFonts w:ascii="Arial" w:hAnsi="Arial" w:cs="Arial"/>
        </w:rPr>
      </w:pPr>
    </w:p>
    <w:p w:rsidR="004C6417" w:rsidRPr="008936BB" w:rsidRDefault="004C6417" w:rsidP="004C6417">
      <w:pPr>
        <w:spacing w:line="276" w:lineRule="auto"/>
        <w:ind w:right="-1" w:firstLine="2410"/>
        <w:jc w:val="both"/>
        <w:rPr>
          <w:rFonts w:ascii="Times New Roman" w:hAnsi="Times New Roman" w:cs="Times New Roman"/>
        </w:rPr>
      </w:pPr>
      <w:r w:rsidRPr="008936BB">
        <w:rPr>
          <w:rFonts w:ascii="Times New Roman" w:hAnsi="Times New Roman" w:cs="Times New Roman"/>
        </w:rPr>
        <w:t xml:space="preserve">Câmara Municipal, Sete Lagoas, 01 de junho de </w:t>
      </w:r>
      <w:proofErr w:type="gramStart"/>
      <w:r w:rsidRPr="008936BB">
        <w:rPr>
          <w:rFonts w:ascii="Times New Roman" w:hAnsi="Times New Roman" w:cs="Times New Roman"/>
        </w:rPr>
        <w:t>2017</w:t>
      </w:r>
      <w:proofErr w:type="gramEnd"/>
    </w:p>
    <w:p w:rsidR="00757CF4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p w:rsidR="00757CF4" w:rsidRPr="00757CF4" w:rsidRDefault="00757CF4" w:rsidP="00757CF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CF4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57CF4" w:rsidRDefault="00757CF4" w:rsidP="00757CF4">
      <w:pPr>
        <w:rPr>
          <w:b/>
          <w:bCs/>
          <w:i/>
          <w:iCs/>
          <w:kern w:val="2"/>
        </w:rPr>
      </w:pPr>
    </w:p>
    <w:p w:rsidR="00757CF4" w:rsidRDefault="00757CF4" w:rsidP="00757CF4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57CF4" w:rsidRDefault="00757CF4" w:rsidP="00757CF4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757CF4" w:rsidRPr="002A03D1" w:rsidRDefault="00757CF4" w:rsidP="002A03D1">
      <w:pPr>
        <w:ind w:left="2410" w:right="-1"/>
        <w:jc w:val="both"/>
        <w:rPr>
          <w:rFonts w:ascii="Arial" w:hAnsi="Arial" w:cs="Arial"/>
          <w:b/>
        </w:rPr>
      </w:pPr>
    </w:p>
    <w:sectPr w:rsidR="00757CF4" w:rsidRPr="002A03D1" w:rsidSect="007E18CF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2E0" w:rsidRDefault="00F972E0" w:rsidP="00963EEE">
      <w:pPr>
        <w:spacing w:after="0" w:line="240" w:lineRule="auto"/>
      </w:pPr>
      <w:r>
        <w:separator/>
      </w:r>
    </w:p>
  </w:endnote>
  <w:endnote w:type="continuationSeparator" w:id="0">
    <w:p w:rsidR="00F972E0" w:rsidRDefault="00F972E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2E0" w:rsidRDefault="00F972E0" w:rsidP="00963EEE">
      <w:pPr>
        <w:spacing w:after="0" w:line="240" w:lineRule="auto"/>
      </w:pPr>
      <w:r>
        <w:separator/>
      </w:r>
    </w:p>
  </w:footnote>
  <w:footnote w:type="continuationSeparator" w:id="0">
    <w:p w:rsidR="00F972E0" w:rsidRDefault="00F972E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0BF14F" wp14:editId="4C3527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30EF37" wp14:editId="2655E6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185102"/>
    <w:rsid w:val="00211A3F"/>
    <w:rsid w:val="00212D5B"/>
    <w:rsid w:val="00225269"/>
    <w:rsid w:val="002A03D1"/>
    <w:rsid w:val="002B5D0D"/>
    <w:rsid w:val="003247B7"/>
    <w:rsid w:val="003575DB"/>
    <w:rsid w:val="00385E9F"/>
    <w:rsid w:val="003A6C14"/>
    <w:rsid w:val="0042161D"/>
    <w:rsid w:val="0045662A"/>
    <w:rsid w:val="00481A6F"/>
    <w:rsid w:val="004C5ED4"/>
    <w:rsid w:val="004C6417"/>
    <w:rsid w:val="005238CA"/>
    <w:rsid w:val="005252B8"/>
    <w:rsid w:val="00576CDB"/>
    <w:rsid w:val="00635821"/>
    <w:rsid w:val="00676090"/>
    <w:rsid w:val="00693C28"/>
    <w:rsid w:val="006A3E47"/>
    <w:rsid w:val="006E338F"/>
    <w:rsid w:val="006E6957"/>
    <w:rsid w:val="006F524A"/>
    <w:rsid w:val="007051D7"/>
    <w:rsid w:val="00750DEF"/>
    <w:rsid w:val="00757CF4"/>
    <w:rsid w:val="007679F7"/>
    <w:rsid w:val="007959B5"/>
    <w:rsid w:val="007E18CF"/>
    <w:rsid w:val="0081257E"/>
    <w:rsid w:val="00886E42"/>
    <w:rsid w:val="008936BB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3591C"/>
    <w:rsid w:val="00A85BD8"/>
    <w:rsid w:val="00B1559F"/>
    <w:rsid w:val="00B66DD7"/>
    <w:rsid w:val="00BE56E6"/>
    <w:rsid w:val="00BE621C"/>
    <w:rsid w:val="00BF1992"/>
    <w:rsid w:val="00CF0E9E"/>
    <w:rsid w:val="00D65943"/>
    <w:rsid w:val="00DE557E"/>
    <w:rsid w:val="00DE7C41"/>
    <w:rsid w:val="00EC60CD"/>
    <w:rsid w:val="00F933BA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2017-06-01T16:27:00Z</cp:lastPrinted>
  <dcterms:created xsi:type="dcterms:W3CDTF">2017-06-01T16:28:00Z</dcterms:created>
  <dcterms:modified xsi:type="dcterms:W3CDTF">2017-06-01T16:28:00Z</dcterms:modified>
</cp:coreProperties>
</file>