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44" w:rsidRDefault="000A73CA">
      <w:pPr>
        <w:jc w:val="center"/>
        <w:rPr>
          <w:rFonts w:ascii="Verdana" w:hAnsi="Verdana"/>
          <w:b/>
          <w:bCs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 w:rsidR="00173744" w:rsidRDefault="00173744">
      <w:pPr>
        <w:jc w:val="center"/>
        <w:rPr>
          <w:rFonts w:ascii="Verdana" w:hAnsi="Verdana"/>
          <w:b/>
          <w:bCs/>
        </w:rPr>
      </w:pPr>
    </w:p>
    <w:p w:rsidR="00173744" w:rsidRDefault="000A73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COMISSÃO DE </w:t>
      </w:r>
      <w:r w:rsidR="00073E06">
        <w:rPr>
          <w:rFonts w:ascii="Verdana" w:hAnsi="Verdana"/>
          <w:b/>
          <w:bCs/>
        </w:rPr>
        <w:t>FISCALIZAÇÃO FINANCEIRA E ORÇAMENTÁRIA E DE TOMADA DE CONTAS</w:t>
      </w:r>
    </w:p>
    <w:p w:rsidR="00173744" w:rsidRDefault="00173744">
      <w:pPr>
        <w:jc w:val="center"/>
        <w:rPr>
          <w:rFonts w:ascii="Verdana" w:hAnsi="Verdana"/>
          <w:b/>
          <w:bCs/>
        </w:rPr>
      </w:pPr>
    </w:p>
    <w:p w:rsidR="00173744" w:rsidRDefault="00173744">
      <w:pPr>
        <w:rPr>
          <w:rFonts w:ascii="Verdana" w:hAnsi="Verdana" w:cs="DejaVu Sans"/>
          <w:b/>
          <w:bCs/>
        </w:rPr>
      </w:pPr>
    </w:p>
    <w:p w:rsidR="00173744" w:rsidRDefault="000A73CA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 xml:space="preserve">MATÉRIA: </w:t>
      </w:r>
      <w:r>
        <w:rPr>
          <w:rFonts w:ascii="Verdana" w:hAnsi="Verdana" w:cs="DejaVu Sans"/>
          <w:bCs/>
        </w:rPr>
        <w:t>Projeto</w:t>
      </w:r>
      <w:r>
        <w:rPr>
          <w:rFonts w:ascii="Verdana" w:hAnsi="Verdana" w:cs="DejaVu Sans"/>
        </w:rPr>
        <w:t xml:space="preserve"> de Lei nº </w:t>
      </w:r>
      <w:r w:rsidR="00E2005E">
        <w:rPr>
          <w:rFonts w:ascii="Verdana" w:hAnsi="Verdana" w:cs="DejaVu Sans"/>
        </w:rPr>
        <w:t>33</w:t>
      </w:r>
      <w:r w:rsidR="005F4807">
        <w:rPr>
          <w:rFonts w:ascii="Verdana" w:hAnsi="Verdana" w:cs="DejaVu Sans"/>
        </w:rPr>
        <w:t>/</w:t>
      </w:r>
      <w:r>
        <w:rPr>
          <w:rFonts w:ascii="Verdana" w:hAnsi="Verdana" w:cs="DejaVu Sans"/>
        </w:rPr>
        <w:t>201</w:t>
      </w:r>
      <w:r w:rsidR="00414E34">
        <w:rPr>
          <w:rFonts w:ascii="Verdana" w:hAnsi="Verdana" w:cs="DejaVu Sans"/>
        </w:rPr>
        <w:t>6</w:t>
      </w:r>
      <w:r>
        <w:rPr>
          <w:rFonts w:ascii="Verdana" w:hAnsi="Verdana" w:cs="DejaVu Sans"/>
        </w:rPr>
        <w:t xml:space="preserve"> que “</w:t>
      </w:r>
      <w:r w:rsidR="002A16A4">
        <w:rPr>
          <w:rFonts w:ascii="Verdana" w:hAnsi="Verdana" w:cs="DejaVu Sans"/>
        </w:rPr>
        <w:t xml:space="preserve">Autoriza abertura de crédito suplementar no valor de </w:t>
      </w:r>
      <w:r w:rsidR="00414E34">
        <w:rPr>
          <w:rFonts w:ascii="Verdana" w:hAnsi="Verdana" w:cs="DejaVu Sans"/>
        </w:rPr>
        <w:t xml:space="preserve">R$ </w:t>
      </w:r>
      <w:r w:rsidR="00E2005E">
        <w:rPr>
          <w:rFonts w:ascii="Verdana" w:hAnsi="Verdana" w:cs="DejaVu Sans"/>
        </w:rPr>
        <w:t>478.359,84</w:t>
      </w:r>
      <w:r w:rsidR="002A16A4">
        <w:rPr>
          <w:rFonts w:ascii="Verdana" w:hAnsi="Verdana" w:cs="DejaVu Sans"/>
        </w:rPr>
        <w:t xml:space="preserve"> no orçamento fiscal do Município de Sete Lagoas, em favor d</w:t>
      </w:r>
      <w:r w:rsidR="00414E34">
        <w:rPr>
          <w:rFonts w:ascii="Verdana" w:hAnsi="Verdana" w:cs="DejaVu Sans"/>
        </w:rPr>
        <w:t>a</w:t>
      </w:r>
      <w:r w:rsidR="002A16A4">
        <w:rPr>
          <w:rFonts w:ascii="Verdana" w:hAnsi="Verdana" w:cs="DejaVu Sans"/>
        </w:rPr>
        <w:t xml:space="preserve"> </w:t>
      </w:r>
      <w:r w:rsidR="00414E34">
        <w:rPr>
          <w:rFonts w:ascii="Verdana" w:hAnsi="Verdana" w:cs="DejaVu Sans"/>
        </w:rPr>
        <w:t xml:space="preserve">Secretaria Municipal de </w:t>
      </w:r>
      <w:r w:rsidR="00E2005E">
        <w:rPr>
          <w:rFonts w:ascii="Verdana" w:hAnsi="Verdana" w:cs="DejaVu Sans"/>
        </w:rPr>
        <w:t>Obras, Infraestrutura e Políticas Urbanas</w:t>
      </w:r>
      <w:r>
        <w:rPr>
          <w:rFonts w:ascii="Verdana" w:hAnsi="Verdana" w:cs="DejaVu Sans"/>
        </w:rPr>
        <w:t>”.</w:t>
      </w:r>
    </w:p>
    <w:p w:rsidR="00173744" w:rsidRDefault="00173744">
      <w:pPr>
        <w:rPr>
          <w:rFonts w:ascii="Verdana" w:hAnsi="Verdana"/>
        </w:rPr>
      </w:pPr>
    </w:p>
    <w:p w:rsidR="00173744" w:rsidRDefault="000A73CA">
      <w:pPr>
        <w:pBdr>
          <w:top w:val="nil"/>
          <w:left w:val="nil"/>
          <w:bottom w:val="single" w:sz="8" w:space="0" w:color="000001"/>
          <w:right w:val="nil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AUTORIA:</w:t>
      </w:r>
      <w:r>
        <w:rPr>
          <w:rFonts w:ascii="Verdana" w:hAnsi="Verdana" w:cs="DejaVu Sans"/>
        </w:rPr>
        <w:t xml:space="preserve"> Chefe do Poder Executivo.</w:t>
      </w:r>
    </w:p>
    <w:p w:rsidR="00173744" w:rsidRDefault="00173744">
      <w:pPr>
        <w:pBdr>
          <w:top w:val="nil"/>
          <w:left w:val="nil"/>
          <w:bottom w:val="single" w:sz="8" w:space="0" w:color="000001"/>
          <w:right w:val="nil"/>
        </w:pBdr>
        <w:rPr>
          <w:rFonts w:ascii="Verdana" w:hAnsi="Verdana"/>
        </w:rPr>
      </w:pPr>
    </w:p>
    <w:p w:rsidR="00173744" w:rsidRDefault="00173744">
      <w:pPr>
        <w:rPr>
          <w:rFonts w:ascii="Verdana" w:hAnsi="Verdana" w:cs="DejaVu Sans"/>
        </w:rPr>
      </w:pPr>
    </w:p>
    <w:p w:rsidR="00173744" w:rsidRDefault="000A73CA" w:rsidP="00E6275C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173744" w:rsidRDefault="00173744" w:rsidP="00E6275C">
      <w:pPr>
        <w:ind w:firstLine="2295"/>
        <w:jc w:val="both"/>
        <w:rPr>
          <w:rFonts w:ascii="Verdana" w:hAnsi="Verdana" w:cs="DejaVu Sans"/>
        </w:rPr>
      </w:pPr>
    </w:p>
    <w:p w:rsidR="00173744" w:rsidRDefault="000A73CA" w:rsidP="00E6275C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proposição acima referenciada, cuja autoria pertence ao Chefe do Poder Executivo</w:t>
      </w:r>
      <w:bookmarkStart w:id="1" w:name="__DdeLink__193_1889762677"/>
      <w:bookmarkEnd w:id="1"/>
      <w:r>
        <w:rPr>
          <w:rFonts w:ascii="Verdana" w:hAnsi="Verdana" w:cs="DejaVu Sans"/>
        </w:rPr>
        <w:t xml:space="preserve">, objetiva </w:t>
      </w:r>
      <w:r w:rsidR="00414E34">
        <w:rPr>
          <w:rFonts w:ascii="Verdana" w:hAnsi="Verdana" w:cs="DejaVu Sans"/>
        </w:rPr>
        <w:t>a</w:t>
      </w:r>
      <w:r w:rsidR="005971EE" w:rsidRPr="005971EE">
        <w:rPr>
          <w:rFonts w:ascii="Verdana" w:hAnsi="Verdana" w:cs="DejaVu Sans"/>
        </w:rPr>
        <w:t>utoriza</w:t>
      </w:r>
      <w:r w:rsidR="00414E34">
        <w:rPr>
          <w:rFonts w:ascii="Verdana" w:hAnsi="Verdana" w:cs="DejaVu Sans"/>
        </w:rPr>
        <w:t>r</w:t>
      </w:r>
      <w:r w:rsidR="005971EE" w:rsidRPr="005971EE">
        <w:rPr>
          <w:rFonts w:ascii="Verdana" w:hAnsi="Verdana" w:cs="DejaVu Sans"/>
        </w:rPr>
        <w:t xml:space="preserve"> abertura de crédito suplementar no valor de </w:t>
      </w:r>
      <w:r w:rsidR="00E2005E">
        <w:rPr>
          <w:rFonts w:ascii="Verdana" w:hAnsi="Verdana" w:cs="DejaVu Sans"/>
        </w:rPr>
        <w:t>R$ 478.359,84 no orçamento fiscal do Município de Sete Lagoas, em favor da Secretaria Municipal de Obras, Infraestrutura e Políticas Urbanas”.</w:t>
      </w:r>
    </w:p>
    <w:p w:rsidR="00173744" w:rsidRDefault="00173744" w:rsidP="00E6275C">
      <w:pPr>
        <w:ind w:firstLine="2295"/>
        <w:jc w:val="both"/>
        <w:rPr>
          <w:rFonts w:ascii="Verdana" w:hAnsi="Verdana"/>
        </w:rPr>
      </w:pPr>
    </w:p>
    <w:p w:rsidR="00173744" w:rsidRDefault="000A73CA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O projeto foi distribuído nesta data a esta </w:t>
      </w:r>
      <w:r w:rsidR="00073E06">
        <w:rPr>
          <w:rFonts w:ascii="Verdana" w:hAnsi="Verdana" w:cs="DejaVu Sans"/>
        </w:rPr>
        <w:t>Comissão de Fiscalização Financeira e Orçamentária e de Tomada de Contas</w:t>
      </w:r>
      <w:r>
        <w:rPr>
          <w:rFonts w:ascii="Verdana" w:hAnsi="Verdana" w:cs="DejaVu Sans"/>
        </w:rPr>
        <w:t>, para receber parecer quanto aos aspectos de sua</w:t>
      </w:r>
      <w:r w:rsidR="008B775C">
        <w:rPr>
          <w:rFonts w:ascii="Verdana" w:hAnsi="Verdana" w:cs="DejaVu Sans"/>
        </w:rPr>
        <w:t xml:space="preserve"> adequação financeira e orçamentaria</w:t>
      </w:r>
      <w:r>
        <w:rPr>
          <w:rFonts w:ascii="Verdana" w:hAnsi="Verdana" w:cs="DejaVu Sans"/>
        </w:rPr>
        <w:t xml:space="preserve">, nos termos do disposto no art. 169 c/c art. 69 e § </w:t>
      </w:r>
      <w:r w:rsidR="009E3B4D">
        <w:rPr>
          <w:rFonts w:ascii="Verdana" w:hAnsi="Verdana" w:cs="DejaVu Sans"/>
        </w:rPr>
        <w:t>2</w:t>
      </w:r>
      <w:r>
        <w:rPr>
          <w:rFonts w:ascii="Verdana" w:hAnsi="Verdana" w:cs="DejaVu Sans"/>
        </w:rPr>
        <w:t>º do art. 83 do Regimento Interno.</w:t>
      </w:r>
    </w:p>
    <w:p w:rsidR="008B775C" w:rsidRDefault="008B775C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173744" w:rsidRDefault="000A73CA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Presentes à reunião o Vereador </w:t>
      </w:r>
      <w:r w:rsidR="009E3B4D">
        <w:rPr>
          <w:rFonts w:ascii="Verdana" w:hAnsi="Verdana" w:cs="DejaVu Sans"/>
        </w:rPr>
        <w:t>Milton Maurício Martins</w:t>
      </w:r>
      <w:r w:rsidR="00506DFA">
        <w:rPr>
          <w:rFonts w:ascii="Verdana" w:hAnsi="Verdana" w:cs="DejaVu Sans"/>
        </w:rPr>
        <w:t xml:space="preserve"> </w:t>
      </w:r>
      <w:r>
        <w:rPr>
          <w:rFonts w:ascii="Verdana" w:hAnsi="Verdana" w:cs="DejaVu Sans"/>
        </w:rPr>
        <w:t xml:space="preserve">(presidente), </w:t>
      </w:r>
      <w:r w:rsidR="00E2005E">
        <w:rPr>
          <w:rFonts w:ascii="Verdana" w:hAnsi="Verdana" w:cs="DejaVu Sans"/>
        </w:rPr>
        <w:t>a</w:t>
      </w:r>
      <w:r>
        <w:rPr>
          <w:rFonts w:ascii="Verdana" w:hAnsi="Verdana" w:cs="DejaVu Sans"/>
        </w:rPr>
        <w:t xml:space="preserve"> Vereador</w:t>
      </w:r>
      <w:r w:rsidR="00E2005E">
        <w:rPr>
          <w:rFonts w:ascii="Verdana" w:hAnsi="Verdana" w:cs="DejaVu Sans"/>
        </w:rPr>
        <w:t>a</w:t>
      </w:r>
      <w:r>
        <w:rPr>
          <w:rFonts w:ascii="Verdana" w:hAnsi="Verdana" w:cs="DejaVu Sans"/>
        </w:rPr>
        <w:t xml:space="preserve"> </w:t>
      </w:r>
      <w:r w:rsidR="00E2005E">
        <w:rPr>
          <w:rFonts w:ascii="Verdana" w:hAnsi="Verdana" w:cs="DejaVu Sans"/>
        </w:rPr>
        <w:t xml:space="preserve">Marli Aparecida Barbosa </w:t>
      </w:r>
      <w:r>
        <w:rPr>
          <w:rFonts w:ascii="Verdana" w:hAnsi="Verdana" w:cs="DejaVu Sans"/>
        </w:rPr>
        <w:t>(relator</w:t>
      </w:r>
      <w:r w:rsidR="00E2005E">
        <w:rPr>
          <w:rFonts w:ascii="Verdana" w:hAnsi="Verdana" w:cs="DejaVu Sans"/>
        </w:rPr>
        <w:t>a substituta</w:t>
      </w:r>
      <w:r>
        <w:rPr>
          <w:rFonts w:ascii="Verdana" w:hAnsi="Verdana" w:cs="DejaVu Sans"/>
        </w:rPr>
        <w:t>), além do Procurador Geral do Legislativo, o Consultor Jurídico, Assessores de Gabinetes e munícipes.</w:t>
      </w:r>
      <w:r w:rsidR="00E2005E">
        <w:rPr>
          <w:rFonts w:ascii="Verdana" w:hAnsi="Verdana" w:cs="DejaVu Sans"/>
        </w:rPr>
        <w:t xml:space="preserve"> Ausente o vereador Joaquim Gonzaga Barbosa</w:t>
      </w:r>
      <w:r w:rsidR="001F39C8">
        <w:rPr>
          <w:rFonts w:ascii="Verdana" w:hAnsi="Verdana" w:cs="DejaVu Sans"/>
        </w:rPr>
        <w:t>.</w:t>
      </w:r>
    </w:p>
    <w:p w:rsidR="009E3B4D" w:rsidRDefault="009E3B4D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</w:p>
    <w:p w:rsidR="00173744" w:rsidRDefault="000A73CA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173744" w:rsidRDefault="00173744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173744" w:rsidRDefault="000A73CA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Na qualidade de Relator</w:t>
      </w:r>
      <w:r w:rsidR="008B775C">
        <w:rPr>
          <w:rFonts w:ascii="Verdana" w:hAnsi="Verdana" w:cs="DejaVu Sans"/>
        </w:rPr>
        <w:t>a</w:t>
      </w:r>
      <w:r>
        <w:rPr>
          <w:rFonts w:ascii="Verdana" w:hAnsi="Verdana" w:cs="DejaVu Sans"/>
        </w:rPr>
        <w:t xml:space="preserve"> designad</w:t>
      </w:r>
      <w:r w:rsidR="008B775C">
        <w:rPr>
          <w:rFonts w:ascii="Verdana" w:hAnsi="Verdana" w:cs="DejaVu Sans"/>
        </w:rPr>
        <w:t>a</w:t>
      </w:r>
      <w:r>
        <w:rPr>
          <w:rFonts w:ascii="Verdana" w:hAnsi="Verdana" w:cs="DejaVu Sans"/>
        </w:rPr>
        <w:t xml:space="preserve"> por esse órgão técnico, temos a informar o que abaixo segue.</w:t>
      </w:r>
    </w:p>
    <w:p w:rsidR="00173744" w:rsidRDefault="00173744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5971EE" w:rsidRDefault="005971EE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5971EE">
        <w:rPr>
          <w:rFonts w:ascii="Verdana" w:hAnsi="Verdana" w:cs="DejaVu Sans"/>
        </w:rPr>
        <w:t xml:space="preserve">Quando os créditos orçamentários abertos, </w:t>
      </w:r>
      <w:r w:rsidRPr="005971EE">
        <w:rPr>
          <w:rFonts w:ascii="Verdana" w:hAnsi="Verdana" w:cs="DejaVu Sans"/>
        </w:rPr>
        <w:lastRenderedPageBreak/>
        <w:t>inclusive os créditos especiais, são ou se tornam insuficientes, a legislação autoriza a abertura de créditos suplementares. Também</w:t>
      </w:r>
      <w:proofErr w:type="gramStart"/>
      <w:r w:rsidRPr="005971EE">
        <w:rPr>
          <w:rFonts w:ascii="Verdana" w:hAnsi="Verdana" w:cs="DejaVu Sans"/>
        </w:rPr>
        <w:t xml:space="preserve">  </w:t>
      </w:r>
      <w:proofErr w:type="gramEnd"/>
      <w:r w:rsidRPr="005971EE">
        <w:rPr>
          <w:rFonts w:ascii="Verdana" w:hAnsi="Verdana" w:cs="DejaVu Sans"/>
        </w:rPr>
        <w:t>é  autorizada a abertura de créditos suplementares na hipótese da existência de recursos vinculados previstos no Orçamento-Programa referente ao exercício financeiro findo, desde que sejam utilizados exclusivamente para atender ao objeto de sua vinculação.</w:t>
      </w:r>
    </w:p>
    <w:p w:rsidR="00EE0847" w:rsidRPr="005971EE" w:rsidRDefault="00EE0847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5971EE" w:rsidRPr="005971EE" w:rsidRDefault="005971EE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5971EE">
        <w:rPr>
          <w:rFonts w:ascii="Verdana" w:hAnsi="Verdana" w:cs="DejaVu Sans"/>
        </w:rPr>
        <w:t>Nessa linha assim dispõe o parágrafo único do art. 8º da Lei Complementar nº 101/2000, Lei de Responsabilidade Fiscal:</w:t>
      </w:r>
    </w:p>
    <w:p w:rsidR="005971EE" w:rsidRPr="005971EE" w:rsidRDefault="005971EE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5971EE" w:rsidRPr="00303C85" w:rsidRDefault="005971EE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  <w:b/>
          <w:i/>
        </w:rPr>
      </w:pPr>
      <w:r w:rsidRPr="00303C85">
        <w:rPr>
          <w:rFonts w:ascii="Verdana" w:hAnsi="Verdana" w:cs="DejaVu Sans"/>
          <w:b/>
          <w:i/>
        </w:rPr>
        <w:t xml:space="preserve"> “Art. 8º (...)</w:t>
      </w:r>
    </w:p>
    <w:p w:rsidR="005971EE" w:rsidRPr="00303C85" w:rsidRDefault="005971EE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  <w:b/>
          <w:i/>
        </w:rPr>
      </w:pPr>
      <w:r w:rsidRPr="00303C85">
        <w:rPr>
          <w:rFonts w:ascii="Verdana" w:hAnsi="Verdana" w:cs="DejaVu Sans"/>
          <w:b/>
          <w:i/>
        </w:rPr>
        <w:t xml:space="preserve">Parágrafo único: Os recursos legalmente vinculados </w:t>
      </w:r>
      <w:proofErr w:type="gramStart"/>
      <w:r w:rsidRPr="00303C85">
        <w:rPr>
          <w:rFonts w:ascii="Verdana" w:hAnsi="Verdana" w:cs="DejaVu Sans"/>
          <w:b/>
          <w:i/>
        </w:rPr>
        <w:t>a</w:t>
      </w:r>
      <w:proofErr w:type="gramEnd"/>
      <w:r w:rsidRPr="00303C85">
        <w:rPr>
          <w:rFonts w:ascii="Verdana" w:hAnsi="Verdana" w:cs="DejaVu Sans"/>
          <w:b/>
          <w:i/>
        </w:rPr>
        <w:t xml:space="preserve"> finalidade específica serão utilizados exclusivamente para atender ao objeto de sua vinculação, ainda que em exercício diverso daquele em que ocorrer o ingresso.”</w:t>
      </w:r>
    </w:p>
    <w:p w:rsidR="005971EE" w:rsidRPr="00303C85" w:rsidRDefault="005971EE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  <w:b/>
          <w:i/>
        </w:rPr>
      </w:pPr>
      <w:r w:rsidRPr="00303C85">
        <w:rPr>
          <w:rFonts w:ascii="Verdana" w:hAnsi="Verdana" w:cs="DejaVu Sans"/>
          <w:b/>
          <w:i/>
        </w:rPr>
        <w:t xml:space="preserve"> </w:t>
      </w:r>
    </w:p>
    <w:p w:rsidR="005971EE" w:rsidRPr="005971EE" w:rsidRDefault="005971EE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5971EE">
        <w:rPr>
          <w:rFonts w:ascii="Verdana" w:hAnsi="Verdana" w:cs="DejaVu Sans"/>
        </w:rPr>
        <w:t xml:space="preserve">O fim colimado pelo autor da proposição se constitui na transposição, para o Orçamento Programa de </w:t>
      </w:r>
      <w:r w:rsidR="00EE0847">
        <w:rPr>
          <w:rFonts w:ascii="Verdana" w:hAnsi="Verdana" w:cs="DejaVu Sans"/>
        </w:rPr>
        <w:t>201</w:t>
      </w:r>
      <w:r w:rsidR="00414E34">
        <w:rPr>
          <w:rFonts w:ascii="Verdana" w:hAnsi="Verdana" w:cs="DejaVu Sans"/>
        </w:rPr>
        <w:t>6</w:t>
      </w:r>
      <w:r w:rsidR="00EE0847">
        <w:rPr>
          <w:rFonts w:ascii="Verdana" w:hAnsi="Verdana" w:cs="DejaVu Sans"/>
        </w:rPr>
        <w:t xml:space="preserve">, </w:t>
      </w:r>
      <w:r w:rsidRPr="005971EE">
        <w:rPr>
          <w:rFonts w:ascii="Verdana" w:hAnsi="Verdana" w:cs="DejaVu Sans"/>
        </w:rPr>
        <w:t>de recursos financeiros atrelados a determinado fim e remanescentes do Orçamento Programa de 201</w:t>
      </w:r>
      <w:r w:rsidR="00414E34">
        <w:rPr>
          <w:rFonts w:ascii="Verdana" w:hAnsi="Verdana" w:cs="DejaVu Sans"/>
        </w:rPr>
        <w:t>5</w:t>
      </w:r>
      <w:r w:rsidRPr="005971EE">
        <w:rPr>
          <w:rFonts w:ascii="Verdana" w:hAnsi="Verdana" w:cs="DejaVu Sans"/>
        </w:rPr>
        <w:t xml:space="preserve"> findo, necessários para o prosseguimento das ações da Secretaria Municipal de </w:t>
      </w:r>
      <w:r w:rsidR="001F39C8">
        <w:rPr>
          <w:rFonts w:ascii="Verdana" w:hAnsi="Verdana" w:cs="DejaVu Sans"/>
        </w:rPr>
        <w:t>Obras, Infraestrutura e Políticas Urbanas</w:t>
      </w:r>
      <w:r w:rsidRPr="005971EE">
        <w:rPr>
          <w:rFonts w:ascii="Verdana" w:hAnsi="Verdana" w:cs="DejaVu Sans"/>
        </w:rPr>
        <w:t>. Os recursos em questão, na ordem de R$</w:t>
      </w:r>
      <w:r w:rsidR="00414E34">
        <w:rPr>
          <w:rFonts w:ascii="Verdana" w:hAnsi="Verdana" w:cs="DejaVu Sans"/>
        </w:rPr>
        <w:t xml:space="preserve"> </w:t>
      </w:r>
      <w:r w:rsidR="001F39C8">
        <w:rPr>
          <w:rFonts w:ascii="Verdana" w:hAnsi="Verdana" w:cs="DejaVu Sans"/>
        </w:rPr>
        <w:t>478.359,84</w:t>
      </w:r>
      <w:r w:rsidRPr="005971EE">
        <w:rPr>
          <w:rFonts w:ascii="Verdana" w:hAnsi="Verdana" w:cs="DejaVu Sans"/>
        </w:rPr>
        <w:t>, continuam pertencendo aos objetos de seus programas originais, mesmo que ultrapassada a barreira do exercício financeiro de seu ingresso, conforme previsto no parágrafo único do art. 8º da LRF acima transcrito.</w:t>
      </w:r>
    </w:p>
    <w:p w:rsidR="00EE0847" w:rsidRDefault="00EE0847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E6275C" w:rsidRDefault="00E6275C" w:rsidP="00E6275C">
      <w:pPr>
        <w:pStyle w:val="Estilopadro"/>
        <w:ind w:firstLine="2295"/>
        <w:jc w:val="both"/>
        <w:rPr>
          <w:rFonts w:ascii="Verdana" w:eastAsia="Times New Roman" w:hAnsi="Verdana"/>
          <w:lang w:eastAsia="ar-SA"/>
        </w:rPr>
      </w:pPr>
      <w:r>
        <w:rPr>
          <w:rFonts w:ascii="Verdana" w:eastAsia="Times New Roman" w:hAnsi="Verdana"/>
          <w:lang w:eastAsia="ar-SA"/>
        </w:rPr>
        <w:t>Ressaltamos que, esta Comissão, em diligência, solicitou da Comissão de Obras uma vistoria no local da</w:t>
      </w:r>
      <w:proofErr w:type="gramStart"/>
      <w:r>
        <w:rPr>
          <w:rFonts w:ascii="Verdana" w:eastAsia="Times New Roman" w:hAnsi="Verdana"/>
          <w:lang w:eastAsia="ar-SA"/>
        </w:rPr>
        <w:t xml:space="preserve">  </w:t>
      </w:r>
      <w:proofErr w:type="gramEnd"/>
      <w:r>
        <w:rPr>
          <w:rFonts w:ascii="Verdana" w:eastAsia="Times New Roman" w:hAnsi="Verdana"/>
          <w:lang w:eastAsia="ar-SA"/>
        </w:rPr>
        <w:t>obra de Construção da Praça dos Esportes e da Cultura – Centro de Artes e Esportes Unificados que conforme art. 2º, inciso I do presente projeto visa receber créditos suplementares no valor de R$ 236.671,76 a fim de saber quais seriam as obras complementares a serem executadas já que a obra já estará em fase final ou até concluída.</w:t>
      </w:r>
    </w:p>
    <w:p w:rsidR="00E6275C" w:rsidRDefault="00E6275C" w:rsidP="00E6275C">
      <w:pPr>
        <w:pStyle w:val="Estilopadro"/>
        <w:ind w:firstLine="2295"/>
        <w:jc w:val="both"/>
        <w:rPr>
          <w:rFonts w:ascii="Verdana" w:eastAsia="Times New Roman" w:hAnsi="Verdana"/>
          <w:lang w:eastAsia="ar-SA"/>
        </w:rPr>
      </w:pPr>
    </w:p>
    <w:p w:rsidR="00E6275C" w:rsidRDefault="00E6275C" w:rsidP="00E6275C">
      <w:pPr>
        <w:pStyle w:val="Estilopadro"/>
        <w:ind w:firstLine="2295"/>
        <w:jc w:val="both"/>
        <w:rPr>
          <w:rFonts w:ascii="Verdana" w:eastAsia="Times New Roman" w:hAnsi="Verdana"/>
          <w:lang w:eastAsia="ar-SA"/>
        </w:rPr>
      </w:pPr>
      <w:r>
        <w:rPr>
          <w:rFonts w:ascii="Verdana" w:eastAsia="Times New Roman" w:hAnsi="Verdana"/>
          <w:lang w:eastAsia="ar-SA"/>
        </w:rPr>
        <w:t xml:space="preserve">Em resposta foi realizada diligência pela Comissão de Obras a qual resultou na apresentação de esclarecimentos pela Secretaria Municipal de Obras, Infraestrutura e Políticas Urbanas, por meio do ofício OF/GAB/SMOIPU1811/2016 entregue no Gabinete do Vereador Ismael e repassado ao Gabinete da Vereadora Marli (ora </w:t>
      </w:r>
      <w:r>
        <w:rPr>
          <w:rFonts w:ascii="Verdana" w:eastAsia="Times New Roman" w:hAnsi="Verdana"/>
          <w:lang w:eastAsia="ar-SA"/>
        </w:rPr>
        <w:lastRenderedPageBreak/>
        <w:t xml:space="preserve">relatora) que o apresentou na presente reunião. </w:t>
      </w:r>
    </w:p>
    <w:p w:rsidR="00E6275C" w:rsidRDefault="00E6275C" w:rsidP="00E6275C">
      <w:pPr>
        <w:pStyle w:val="Estilopadro"/>
        <w:ind w:firstLine="2295"/>
        <w:jc w:val="both"/>
        <w:rPr>
          <w:rFonts w:ascii="Verdana" w:eastAsia="Times New Roman" w:hAnsi="Verdana"/>
          <w:lang w:eastAsia="ar-SA"/>
        </w:rPr>
      </w:pPr>
      <w:r>
        <w:rPr>
          <w:rFonts w:ascii="Verdana" w:eastAsia="Times New Roman" w:hAnsi="Verdana"/>
          <w:lang w:eastAsia="ar-SA"/>
        </w:rPr>
        <w:t xml:space="preserve">No referido ofício é relatado que somente R$ 186.497,67 (cento e oitenta e seis mil, quatrocentos e noventa e sete reais e sessenta e sete centavos) do total de R$ 236.671,76 (duzentos e trinta e seis mil, seiscentos e setenta e um reais e setenta e seis centavos) serão utilizados para: a) obras e drenagem e serviços complementares R$ 113.224,13, b) equipamentos /ar condicionados R$ 47.346,50 e c) cadeiras R$ 25.927,04. O restante não poderá ser reprogramado e será devolvido a Caixa Econômica Federal. </w:t>
      </w:r>
    </w:p>
    <w:p w:rsidR="00E6275C" w:rsidRDefault="00E6275C" w:rsidP="00E6275C">
      <w:pPr>
        <w:pStyle w:val="Estilopadro"/>
        <w:ind w:firstLine="2295"/>
        <w:jc w:val="both"/>
        <w:rPr>
          <w:rFonts w:ascii="Verdana" w:eastAsia="Times New Roman" w:hAnsi="Verdana"/>
          <w:lang w:eastAsia="ar-SA"/>
        </w:rPr>
      </w:pPr>
    </w:p>
    <w:p w:rsidR="00E6275C" w:rsidRDefault="00E6275C" w:rsidP="00E6275C">
      <w:pPr>
        <w:pStyle w:val="Estilopadro"/>
        <w:ind w:firstLine="2295"/>
        <w:jc w:val="both"/>
      </w:pPr>
      <w:r>
        <w:rPr>
          <w:rFonts w:ascii="Verdana" w:eastAsia="Times New Roman" w:hAnsi="Verdana"/>
          <w:lang w:eastAsia="ar-SA"/>
        </w:rPr>
        <w:t xml:space="preserve">Foi costado assim que havia obras e serviços ainda pendentes de serem realizados e que eram aqueles relativos ao orçamento </w:t>
      </w:r>
      <w:r w:rsidR="00BD1886">
        <w:rPr>
          <w:rFonts w:ascii="Verdana" w:eastAsia="Times New Roman" w:hAnsi="Verdana"/>
          <w:lang w:eastAsia="ar-SA"/>
        </w:rPr>
        <w:t xml:space="preserve">de 2015 e que deveria ser transferido para o orçamento </w:t>
      </w:r>
      <w:r>
        <w:rPr>
          <w:rFonts w:ascii="Verdana" w:eastAsia="Times New Roman" w:hAnsi="Verdana"/>
          <w:lang w:eastAsia="ar-SA"/>
        </w:rPr>
        <w:t>vigente</w:t>
      </w:r>
      <w:r w:rsidR="00BD1886">
        <w:rPr>
          <w:rFonts w:ascii="Verdana" w:eastAsia="Times New Roman" w:hAnsi="Verdana"/>
          <w:lang w:eastAsia="ar-SA"/>
        </w:rPr>
        <w:t xml:space="preserve"> visando permitir a conclusão das mesmas</w:t>
      </w:r>
      <w:r>
        <w:rPr>
          <w:rFonts w:ascii="Verdana" w:eastAsia="Times New Roman" w:hAnsi="Verdana"/>
          <w:lang w:eastAsia="ar-SA"/>
        </w:rPr>
        <w:t xml:space="preserve">. </w:t>
      </w:r>
    </w:p>
    <w:p w:rsidR="00E6275C" w:rsidRDefault="00E6275C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562DBE" w:rsidRDefault="00562DBE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 w:rsidRPr="005971EE">
        <w:rPr>
          <w:rFonts w:ascii="Verdana" w:hAnsi="Verdana" w:cs="DejaVu Sans"/>
        </w:rPr>
        <w:t xml:space="preserve">No que tange à autorização de suplementação no percentual de 20% dos valores da despesa constante na proposição (art. 3º), </w:t>
      </w:r>
      <w:r>
        <w:rPr>
          <w:rFonts w:ascii="Verdana" w:hAnsi="Verdana" w:cs="DejaVu Sans"/>
        </w:rPr>
        <w:t>esta comissão entende que este artigo deverá ser suprimido.</w:t>
      </w:r>
    </w:p>
    <w:p w:rsidR="00562DBE" w:rsidRDefault="00562DBE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BD1886" w:rsidRDefault="00BD1886" w:rsidP="00BD1886">
      <w:pPr>
        <w:pStyle w:val="Estilopadr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Esta supressão visa atender ao entendimento do Tribunal de Contas do Estado de Minas Gerais quando da emissão do parecer n</w:t>
      </w:r>
      <w:r w:rsidRPr="00FB6B92">
        <w:rPr>
          <w:rFonts w:ascii="Verdana" w:hAnsi="Verdana"/>
        </w:rPr>
        <w:t>º 912.823, do Município de Sete Lagoas, exercício de 2013</w:t>
      </w:r>
      <w:r>
        <w:rPr>
          <w:rFonts w:ascii="Verdana" w:hAnsi="Verdana"/>
        </w:rPr>
        <w:t xml:space="preserve">, posicionou-se pela necessidade de suprimir artigos de novas Leis Orçamentárias que reproduzissem o art. 6º da LOA daquele ano, </w:t>
      </w:r>
      <w:proofErr w:type="spellStart"/>
      <w:r w:rsidRPr="00FF2AF7">
        <w:rPr>
          <w:rFonts w:ascii="Verdana" w:hAnsi="Verdana"/>
          <w:i/>
        </w:rPr>
        <w:t>verbis</w:t>
      </w:r>
      <w:proofErr w:type="spellEnd"/>
      <w:r>
        <w:rPr>
          <w:rFonts w:ascii="Verdana" w:hAnsi="Verdana"/>
        </w:rPr>
        <w:t>:</w:t>
      </w:r>
    </w:p>
    <w:p w:rsidR="00BD1886" w:rsidRDefault="00BD1886" w:rsidP="00BD1886">
      <w:pPr>
        <w:pStyle w:val="Estilopadro"/>
        <w:ind w:firstLine="1800"/>
        <w:jc w:val="both"/>
        <w:rPr>
          <w:rFonts w:ascii="Verdana" w:hAnsi="Verdana"/>
        </w:rPr>
      </w:pPr>
    </w:p>
    <w:p w:rsidR="00BD1886" w:rsidRPr="00791DDC" w:rsidRDefault="00BD1886" w:rsidP="00BD1886">
      <w:pPr>
        <w:pStyle w:val="PargrafodaLista"/>
        <w:spacing w:after="0" w:line="240" w:lineRule="auto"/>
        <w:ind w:left="1843"/>
        <w:jc w:val="both"/>
        <w:rPr>
          <w:rFonts w:ascii="Arial" w:hAnsi="Arial" w:cs="Arial"/>
          <w:sz w:val="24"/>
        </w:rPr>
      </w:pPr>
      <w:r w:rsidRPr="00791DDC">
        <w:rPr>
          <w:rFonts w:ascii="Arial" w:hAnsi="Arial" w:cs="Arial"/>
          <w:i/>
          <w:sz w:val="24"/>
        </w:rPr>
        <w:t xml:space="preserve">“No que tange à autorização contida no art. 6º da LOA para suplementações que não oneram o percentual de 30% autorizado no </w:t>
      </w:r>
      <w:r w:rsidRPr="00791DDC">
        <w:rPr>
          <w:rFonts w:ascii="Arial" w:hAnsi="Arial" w:cs="Arial"/>
          <w:sz w:val="24"/>
        </w:rPr>
        <w:t xml:space="preserve">caput </w:t>
      </w:r>
      <w:r w:rsidRPr="00791DDC">
        <w:rPr>
          <w:rFonts w:ascii="Arial" w:hAnsi="Arial" w:cs="Arial"/>
          <w:i/>
          <w:sz w:val="24"/>
        </w:rPr>
        <w:t>do art. 5º, caracteriza autorização ilimitada de créditos, o que contraria o disposto no inciso VII do art. 167 da CR/88, conforme bem destacado pelo Órgão Técnico. Contudo, deixo de considerar irregular haja vista que, em situações análogas</w:t>
      </w:r>
      <w:r w:rsidRPr="00791DDC">
        <w:rPr>
          <w:rStyle w:val="Refdenotaderodap"/>
          <w:rFonts w:ascii="Arial" w:hAnsi="Arial" w:cs="Arial"/>
          <w:i/>
        </w:rPr>
        <w:footnoteReference w:id="1"/>
      </w:r>
      <w:r w:rsidRPr="00791DDC">
        <w:rPr>
          <w:rFonts w:ascii="Arial" w:hAnsi="Arial" w:cs="Arial"/>
          <w:sz w:val="24"/>
        </w:rPr>
        <w:t xml:space="preserve">, este tem sido o procedimento adotado por este Tribunal, </w:t>
      </w:r>
      <w:r w:rsidRPr="00791DDC">
        <w:rPr>
          <w:rFonts w:ascii="Arial" w:hAnsi="Arial" w:cs="Arial"/>
          <w:b/>
          <w:sz w:val="24"/>
        </w:rPr>
        <w:t xml:space="preserve">com recomendação ao gestor no sentido de que nas Leis Orçamentárias subsequentes não sejam incluídos dispositivos contendo autorização ilimitada para abertura de créditos suplementares.” </w:t>
      </w:r>
      <w:r w:rsidRPr="00791DDC">
        <w:rPr>
          <w:rFonts w:ascii="Arial" w:hAnsi="Arial" w:cs="Arial"/>
          <w:sz w:val="24"/>
        </w:rPr>
        <w:t>(Original sem grifo).</w:t>
      </w:r>
    </w:p>
    <w:p w:rsidR="00BD1886" w:rsidRPr="00791DDC" w:rsidRDefault="00BD1886" w:rsidP="00BD1886">
      <w:pPr>
        <w:pStyle w:val="PargrafodaLista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BD1886" w:rsidRDefault="00BD1886" w:rsidP="00BD1886">
      <w:pPr>
        <w:pStyle w:val="Estilopadro"/>
        <w:ind w:firstLine="2268"/>
        <w:jc w:val="both"/>
        <w:rPr>
          <w:rFonts w:ascii="Verdana" w:hAnsi="Verdana"/>
        </w:rPr>
      </w:pPr>
      <w:r w:rsidRPr="006A5C10">
        <w:rPr>
          <w:rFonts w:ascii="Verdana" w:hAnsi="Verdana"/>
        </w:rPr>
        <w:t xml:space="preserve">Da </w:t>
      </w:r>
      <w:r>
        <w:rPr>
          <w:rFonts w:ascii="Verdana" w:hAnsi="Verdana"/>
        </w:rPr>
        <w:t>análise da presente proposição verifica-se que novamente o art. 3º da presente proposição também irá configurar uma autorização para créditos suplementares ilimitados, contrariando assim a determinação daquela egrégia Corte e sujeitando o próprio Prefeito e esta Casa a sanções administrativas, cíveis e penais.</w:t>
      </w:r>
    </w:p>
    <w:p w:rsidR="00BD1886" w:rsidRDefault="00BD1886" w:rsidP="00BD1886">
      <w:pPr>
        <w:pStyle w:val="Estilopadro"/>
        <w:ind w:firstLine="1800"/>
        <w:jc w:val="both"/>
        <w:rPr>
          <w:rFonts w:ascii="Verdana" w:hAnsi="Verdana"/>
        </w:rPr>
      </w:pPr>
    </w:p>
    <w:p w:rsidR="00BD1886" w:rsidRDefault="00BD1886" w:rsidP="00BD1886">
      <w:pPr>
        <w:pStyle w:val="Estilopadr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Desta forma, apresentamos a presente emenda supressiva a qual segue anexa ao presente parecer, em atendimento ao determinado pelo Tribunal de Contas do Estado de Minas Gerais.</w:t>
      </w:r>
    </w:p>
    <w:p w:rsidR="00BD1886" w:rsidRPr="006A5C10" w:rsidRDefault="00BD1886" w:rsidP="00BD1886">
      <w:pPr>
        <w:pStyle w:val="Estilopadro"/>
        <w:ind w:firstLine="2268"/>
        <w:jc w:val="both"/>
        <w:rPr>
          <w:rFonts w:ascii="Verdana" w:hAnsi="Verdana"/>
        </w:rPr>
      </w:pPr>
    </w:p>
    <w:p w:rsidR="00562DBE" w:rsidRDefault="00CB5672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Ressalte-se a título informativo que </w:t>
      </w:r>
      <w:r w:rsidR="00562DBE" w:rsidRPr="00324629">
        <w:rPr>
          <w:rFonts w:ascii="Verdana" w:hAnsi="Verdana" w:cs="DejaVu Sans"/>
        </w:rPr>
        <w:t>o Poder Executivo já possui, conforme art. 5º da Lei n.º 8.</w:t>
      </w:r>
      <w:r w:rsidR="005E7BD6">
        <w:rPr>
          <w:rFonts w:ascii="Verdana" w:hAnsi="Verdana" w:cs="DejaVu Sans"/>
        </w:rPr>
        <w:t>543</w:t>
      </w:r>
      <w:r w:rsidR="00562DBE" w:rsidRPr="00324629">
        <w:rPr>
          <w:rFonts w:ascii="Verdana" w:hAnsi="Verdana" w:cs="DejaVu Sans"/>
        </w:rPr>
        <w:t xml:space="preserve"> de </w:t>
      </w:r>
      <w:r w:rsidR="005E7BD6">
        <w:rPr>
          <w:rFonts w:ascii="Verdana" w:hAnsi="Verdana" w:cs="DejaVu Sans"/>
        </w:rPr>
        <w:t>14</w:t>
      </w:r>
      <w:r w:rsidR="00562DBE" w:rsidRPr="00324629">
        <w:rPr>
          <w:rFonts w:ascii="Verdana" w:hAnsi="Verdana" w:cs="DejaVu Sans"/>
        </w:rPr>
        <w:t xml:space="preserve"> de janeiro de 201</w:t>
      </w:r>
      <w:r w:rsidR="005E7BD6">
        <w:rPr>
          <w:rFonts w:ascii="Verdana" w:hAnsi="Verdana" w:cs="DejaVu Sans"/>
        </w:rPr>
        <w:t>6</w:t>
      </w:r>
      <w:r w:rsidR="00562DBE" w:rsidRPr="00324629">
        <w:rPr>
          <w:rFonts w:ascii="Verdana" w:hAnsi="Verdana" w:cs="DejaVu Sans"/>
        </w:rPr>
        <w:t xml:space="preserve"> que “Estima a</w:t>
      </w:r>
      <w:r w:rsidR="00562DBE" w:rsidRPr="00533D2C">
        <w:rPr>
          <w:rFonts w:ascii="Verdana" w:hAnsi="Verdana" w:cs="DejaVu Sans"/>
        </w:rPr>
        <w:t xml:space="preserve"> receita e fixa a despesa do município de Sete Lagoas para o exercício financeiro de 201</w:t>
      </w:r>
      <w:r w:rsidR="005E7BD6">
        <w:rPr>
          <w:rFonts w:ascii="Verdana" w:hAnsi="Verdana" w:cs="DejaVu Sans"/>
        </w:rPr>
        <w:t>6</w:t>
      </w:r>
      <w:r w:rsidR="00562DBE">
        <w:rPr>
          <w:rFonts w:ascii="Verdana" w:hAnsi="Verdana" w:cs="DejaVu Sans"/>
        </w:rPr>
        <w:t>” vigente no ano de 201</w:t>
      </w:r>
      <w:r w:rsidR="005E7BD6">
        <w:rPr>
          <w:rFonts w:ascii="Verdana" w:hAnsi="Verdana" w:cs="DejaVu Sans"/>
        </w:rPr>
        <w:t>6</w:t>
      </w:r>
      <w:r w:rsidR="00562DBE">
        <w:rPr>
          <w:rFonts w:ascii="Verdana" w:hAnsi="Verdana" w:cs="DejaVu Sans"/>
        </w:rPr>
        <w:t xml:space="preserve"> o percentual de </w:t>
      </w:r>
      <w:r w:rsidR="00562DBE" w:rsidRPr="005E7BD6">
        <w:rPr>
          <w:rFonts w:ascii="Verdana" w:hAnsi="Verdana" w:cs="DejaVu Sans"/>
          <w:b/>
        </w:rPr>
        <w:t>2</w:t>
      </w:r>
      <w:r w:rsidR="005E7BD6" w:rsidRPr="005E7BD6">
        <w:rPr>
          <w:rFonts w:ascii="Verdana" w:hAnsi="Verdana" w:cs="DejaVu Sans"/>
          <w:b/>
        </w:rPr>
        <w:t>5</w:t>
      </w:r>
      <w:r w:rsidR="00562DBE" w:rsidRPr="005E7BD6">
        <w:rPr>
          <w:rFonts w:ascii="Verdana" w:hAnsi="Verdana" w:cs="DejaVu Sans"/>
          <w:b/>
        </w:rPr>
        <w:t xml:space="preserve">% (vinte </w:t>
      </w:r>
      <w:r w:rsidR="005E7BD6" w:rsidRPr="005E7BD6">
        <w:rPr>
          <w:rFonts w:ascii="Verdana" w:hAnsi="Verdana" w:cs="DejaVu Sans"/>
          <w:b/>
        </w:rPr>
        <w:t xml:space="preserve">e cinco </w:t>
      </w:r>
      <w:proofErr w:type="spellStart"/>
      <w:r w:rsidR="00562DBE" w:rsidRPr="005E7BD6">
        <w:rPr>
          <w:rFonts w:ascii="Verdana" w:hAnsi="Verdana" w:cs="DejaVu Sans"/>
          <w:b/>
        </w:rPr>
        <w:t>porcento</w:t>
      </w:r>
      <w:proofErr w:type="spellEnd"/>
      <w:r w:rsidR="00562DBE" w:rsidRPr="005E7BD6">
        <w:rPr>
          <w:rFonts w:ascii="Verdana" w:hAnsi="Verdana" w:cs="DejaVu Sans"/>
          <w:b/>
        </w:rPr>
        <w:t>)</w:t>
      </w:r>
      <w:r w:rsidR="00562DBE">
        <w:rPr>
          <w:rFonts w:ascii="Verdana" w:hAnsi="Verdana" w:cs="DejaVu Sans"/>
        </w:rPr>
        <w:t xml:space="preserve"> para realizar, por Decreto, créditos adicionais suplementares</w:t>
      </w:r>
      <w:r w:rsidR="005E7BD6">
        <w:rPr>
          <w:rFonts w:ascii="Verdana" w:hAnsi="Verdana" w:cs="DejaVu Sans"/>
        </w:rPr>
        <w:t>, ou seja, superior em 5% ao concedido na LOA 2015 e no limite do que o TCE entende como permitido através de aprovação prévia de suplementação</w:t>
      </w:r>
      <w:r w:rsidR="00562DBE">
        <w:rPr>
          <w:rFonts w:ascii="Verdana" w:hAnsi="Verdana" w:cs="DejaVu Sans"/>
        </w:rPr>
        <w:t xml:space="preserve">. </w:t>
      </w:r>
    </w:p>
    <w:p w:rsidR="00562DBE" w:rsidRDefault="00562DBE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562DBE" w:rsidRDefault="00562DBE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Por todo o exposto, est</w:t>
      </w:r>
      <w:r w:rsidR="008B775C">
        <w:rPr>
          <w:rFonts w:ascii="Verdana" w:hAnsi="Verdana" w:cs="DejaVu Sans"/>
        </w:rPr>
        <w:t>a</w:t>
      </w:r>
      <w:r>
        <w:rPr>
          <w:rFonts w:ascii="Verdana" w:hAnsi="Verdana" w:cs="DejaVu Sans"/>
        </w:rPr>
        <w:t xml:space="preserve"> Relator</w:t>
      </w:r>
      <w:r w:rsidR="008B775C">
        <w:rPr>
          <w:rFonts w:ascii="Verdana" w:hAnsi="Verdana" w:cs="DejaVu Sans"/>
        </w:rPr>
        <w:t>a</w:t>
      </w:r>
      <w:r>
        <w:rPr>
          <w:rFonts w:ascii="Verdana" w:hAnsi="Verdana" w:cs="DejaVu Sans"/>
        </w:rPr>
        <w:t xml:space="preserve">, entende que no que toca aos requisitos a serem analisados por esta Comissão há nesta proposição, com a emenda anexa a este parecer, </w:t>
      </w:r>
      <w:r w:rsidRPr="00533D2C">
        <w:rPr>
          <w:rFonts w:ascii="Verdana" w:hAnsi="Verdana" w:cs="DejaVu Sans"/>
        </w:rPr>
        <w:t>adequação financeira e orçamentária</w:t>
      </w:r>
      <w:r>
        <w:rPr>
          <w:rFonts w:ascii="Verdana" w:hAnsi="Verdana" w:cs="DejaVu Sans"/>
        </w:rPr>
        <w:t xml:space="preserve"> ao ordenamento jurídico vigente.</w:t>
      </w:r>
    </w:p>
    <w:p w:rsidR="000967F7" w:rsidRDefault="000967F7" w:rsidP="00E6275C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173744" w:rsidRDefault="000A73CA" w:rsidP="00E6275C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Conclusão</w:t>
      </w:r>
    </w:p>
    <w:p w:rsidR="00173744" w:rsidRDefault="00173744" w:rsidP="00E6275C">
      <w:pPr>
        <w:ind w:firstLine="2295"/>
        <w:jc w:val="both"/>
        <w:rPr>
          <w:rFonts w:ascii="Verdana" w:hAnsi="Verdana" w:cs="DejaVu Sans"/>
          <w:u w:val="single"/>
        </w:rPr>
      </w:pPr>
    </w:p>
    <w:p w:rsidR="00F41D8B" w:rsidRDefault="00F41D8B" w:rsidP="00E6275C">
      <w:pPr>
        <w:ind w:firstLine="2295"/>
        <w:jc w:val="both"/>
        <w:rPr>
          <w:rFonts w:ascii="Verdana" w:hAnsi="Verdana"/>
        </w:rPr>
      </w:pPr>
      <w:r>
        <w:rPr>
          <w:rFonts w:ascii="Verdana" w:hAnsi="Verdana" w:cs="DejaVu Sans"/>
        </w:rPr>
        <w:t xml:space="preserve">Em face do exposto, este relator conclui pela </w:t>
      </w:r>
      <w:r w:rsidR="008B775C">
        <w:rPr>
          <w:rFonts w:ascii="Verdana" w:hAnsi="Verdana" w:cs="DejaVu Sans"/>
        </w:rPr>
        <w:t xml:space="preserve">adequação orçamentária e financeira </w:t>
      </w:r>
      <w:r>
        <w:rPr>
          <w:rFonts w:ascii="Verdana" w:hAnsi="Verdana"/>
        </w:rPr>
        <w:t xml:space="preserve">do Projeto de Lei nº </w:t>
      </w:r>
      <w:r w:rsidR="008B775C">
        <w:rPr>
          <w:rFonts w:ascii="Verdana" w:hAnsi="Verdana"/>
        </w:rPr>
        <w:t>33</w:t>
      </w:r>
      <w:r>
        <w:rPr>
          <w:rFonts w:ascii="Verdana" w:hAnsi="Verdana"/>
        </w:rPr>
        <w:t>/201</w:t>
      </w:r>
      <w:r w:rsidR="00414E34">
        <w:rPr>
          <w:rFonts w:ascii="Verdana" w:hAnsi="Verdana"/>
        </w:rPr>
        <w:t>6</w:t>
      </w:r>
      <w:r>
        <w:rPr>
          <w:rFonts w:ascii="Verdana" w:hAnsi="Verdana"/>
        </w:rPr>
        <w:t>.</w:t>
      </w:r>
    </w:p>
    <w:p w:rsidR="00173744" w:rsidRDefault="00173744" w:rsidP="00E6275C">
      <w:pPr>
        <w:ind w:firstLine="2295"/>
        <w:jc w:val="both"/>
        <w:rPr>
          <w:rFonts w:ascii="Verdana" w:hAnsi="Verdana" w:cs="DejaVu Sans"/>
        </w:rPr>
      </w:pPr>
    </w:p>
    <w:p w:rsidR="00173744" w:rsidRDefault="000A73CA" w:rsidP="00E6275C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Sala das Reuniões, </w:t>
      </w:r>
      <w:r w:rsidR="008B775C">
        <w:rPr>
          <w:rFonts w:ascii="Verdana" w:hAnsi="Verdana" w:cs="DejaVu Sans"/>
        </w:rPr>
        <w:t xml:space="preserve">01 </w:t>
      </w:r>
      <w:r>
        <w:rPr>
          <w:rFonts w:ascii="Verdana" w:hAnsi="Verdana" w:cs="DejaVu Sans"/>
        </w:rPr>
        <w:t xml:space="preserve">de </w:t>
      </w:r>
      <w:r w:rsidR="008B775C">
        <w:rPr>
          <w:rFonts w:ascii="Verdana" w:hAnsi="Verdana" w:cs="DejaVu Sans"/>
        </w:rPr>
        <w:t xml:space="preserve">junho </w:t>
      </w:r>
      <w:r>
        <w:rPr>
          <w:rFonts w:ascii="Verdana" w:hAnsi="Verdana" w:cs="DejaVu Sans"/>
        </w:rPr>
        <w:t>de 201</w:t>
      </w:r>
      <w:r w:rsidR="00414E34">
        <w:rPr>
          <w:rFonts w:ascii="Verdana" w:hAnsi="Verdana" w:cs="DejaVu Sans"/>
        </w:rPr>
        <w:t>6</w:t>
      </w:r>
      <w:r>
        <w:rPr>
          <w:rFonts w:ascii="Verdana" w:hAnsi="Verdana" w:cs="DejaVu Sans"/>
        </w:rPr>
        <w:t>.</w:t>
      </w:r>
    </w:p>
    <w:p w:rsidR="00173744" w:rsidRDefault="00173744" w:rsidP="00E6275C">
      <w:pPr>
        <w:ind w:firstLine="2295"/>
        <w:rPr>
          <w:rFonts w:ascii="Verdana" w:hAnsi="Verdana" w:cs="DejaVu Sans"/>
          <w:b/>
          <w:bCs/>
        </w:rPr>
      </w:pPr>
    </w:p>
    <w:p w:rsidR="00173744" w:rsidRDefault="000A73CA" w:rsidP="00E6275C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</w:t>
      </w:r>
    </w:p>
    <w:p w:rsidR="008B775C" w:rsidRDefault="008B775C" w:rsidP="008B775C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8B775C" w:rsidRDefault="008B775C" w:rsidP="008B775C">
      <w:pPr>
        <w:ind w:firstLine="2295"/>
        <w:rPr>
          <w:rFonts w:ascii="Verdana" w:hAnsi="Verdana"/>
        </w:rPr>
      </w:pPr>
      <w:r>
        <w:rPr>
          <w:rFonts w:ascii="Verdana" w:hAnsi="Verdana"/>
        </w:rPr>
        <w:t>Vereadora</w:t>
      </w:r>
    </w:p>
    <w:p w:rsidR="00173744" w:rsidRDefault="000A73CA" w:rsidP="00E6275C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  <w:r w:rsidR="008B775C">
        <w:rPr>
          <w:rFonts w:ascii="Verdana" w:hAnsi="Verdana" w:cs="DejaVu Sans"/>
        </w:rPr>
        <w:t xml:space="preserve"> substituta</w:t>
      </w:r>
    </w:p>
    <w:p w:rsidR="00173744" w:rsidRDefault="00173744" w:rsidP="00E6275C">
      <w:pPr>
        <w:ind w:firstLine="2295"/>
        <w:rPr>
          <w:rFonts w:ascii="Verdana" w:hAnsi="Verdana" w:cs="DejaVu Sans"/>
        </w:rPr>
      </w:pPr>
    </w:p>
    <w:p w:rsidR="00173744" w:rsidRDefault="000A73CA" w:rsidP="00E6275C">
      <w:pPr>
        <w:ind w:firstLine="2295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173744" w:rsidRDefault="00173744" w:rsidP="00E6275C">
      <w:pPr>
        <w:ind w:firstLine="2295"/>
        <w:rPr>
          <w:rFonts w:ascii="Verdana" w:hAnsi="Verdana" w:cs="DejaVu Sans"/>
        </w:rPr>
      </w:pPr>
    </w:p>
    <w:p w:rsidR="00173744" w:rsidRDefault="000A73CA" w:rsidP="00E6275C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De acordo com </w:t>
      </w:r>
      <w:r w:rsidR="005D3D90">
        <w:rPr>
          <w:rFonts w:ascii="Verdana" w:hAnsi="Verdana" w:cs="DejaVu Sans"/>
        </w:rPr>
        <w:t>a</w:t>
      </w:r>
      <w:r>
        <w:rPr>
          <w:rFonts w:ascii="Verdana" w:hAnsi="Verdana" w:cs="DejaVu Sans"/>
        </w:rPr>
        <w:t xml:space="preserve"> relator</w:t>
      </w:r>
      <w:r w:rsidR="005D3D90">
        <w:rPr>
          <w:rFonts w:ascii="Verdana" w:hAnsi="Verdana" w:cs="DejaVu Sans"/>
        </w:rPr>
        <w:t>a</w:t>
      </w:r>
    </w:p>
    <w:p w:rsidR="00173744" w:rsidRDefault="00173744" w:rsidP="00E6275C">
      <w:pPr>
        <w:ind w:firstLine="2295"/>
        <w:rPr>
          <w:rFonts w:ascii="Verdana" w:hAnsi="Verdana" w:cs="DejaVu Sans"/>
        </w:rPr>
      </w:pPr>
    </w:p>
    <w:p w:rsidR="00173744" w:rsidRDefault="00173744" w:rsidP="00E6275C">
      <w:pPr>
        <w:ind w:firstLine="2295"/>
        <w:rPr>
          <w:rFonts w:ascii="Verdana" w:hAnsi="Verdana" w:cs="DejaVu Sans"/>
        </w:rPr>
      </w:pPr>
    </w:p>
    <w:p w:rsidR="00173744" w:rsidRDefault="00F41D8B" w:rsidP="00E6275C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Milton Maurício Martins</w:t>
      </w:r>
    </w:p>
    <w:p w:rsidR="008B775C" w:rsidRDefault="000A73CA" w:rsidP="005D3D90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  <w:r w:rsidR="008B775C">
        <w:rPr>
          <w:rFonts w:ascii="Verdana" w:hAnsi="Verdana" w:cs="DejaVu Sans"/>
        </w:rPr>
        <w:br w:type="page"/>
      </w:r>
    </w:p>
    <w:p w:rsidR="005D3D90" w:rsidRDefault="005D3D90" w:rsidP="005D3D90">
      <w:pPr>
        <w:pStyle w:val="Estilopadro"/>
        <w:jc w:val="both"/>
      </w:pPr>
    </w:p>
    <w:p w:rsidR="005D3D90" w:rsidRPr="005D3D90" w:rsidRDefault="005D3D90" w:rsidP="005D3D90">
      <w:pPr>
        <w:pStyle w:val="Estilopadro"/>
        <w:jc w:val="both"/>
        <w:rPr>
          <w:b/>
        </w:rPr>
      </w:pPr>
      <w:r>
        <w:rPr>
          <w:rFonts w:ascii="Verdana" w:hAnsi="Verdana"/>
          <w:b/>
        </w:rPr>
        <w:t xml:space="preserve">EMENDA SUPRESSIVA N.º 01 AO </w:t>
      </w:r>
      <w:r w:rsidRPr="005D3D90">
        <w:rPr>
          <w:rFonts w:ascii="Verdana" w:hAnsi="Verdana" w:cs="DejaVu Sans"/>
          <w:b/>
          <w:bCs/>
        </w:rPr>
        <w:t>PROJETO</w:t>
      </w:r>
      <w:r w:rsidRPr="005D3D90">
        <w:rPr>
          <w:rFonts w:ascii="Verdana" w:hAnsi="Verdana" w:cs="DejaVu Sans"/>
          <w:b/>
        </w:rPr>
        <w:t xml:space="preserve"> DE LEI Nº 33/2016 QUE “AUTORIZA ABERTURA DE CRÉDITO SUPLEMENTAR NO VALOR DE R$ 478.359,84 NO ORÇAMENTO FISCAL DO MUNICÍPIO DE SETE LAGOAS, EM FAVOR DA SECRETARIA MUNICIPAL DE OBRAS, INFRAESTRUTURA E POLÍTICAS URBANAS”</w:t>
      </w:r>
      <w:proofErr w:type="gramStart"/>
      <w:r w:rsidRPr="005D3D90">
        <w:rPr>
          <w:rFonts w:ascii="Verdana" w:hAnsi="Verdana" w:cs="DejaVu Sans"/>
          <w:b/>
        </w:rPr>
        <w:t>.</w:t>
      </w:r>
      <w:r w:rsidRPr="005D3D90">
        <w:rPr>
          <w:rFonts w:ascii="Verdana" w:hAnsi="Verdana"/>
          <w:b/>
        </w:rPr>
        <w:t>.</w:t>
      </w:r>
      <w:proofErr w:type="gramEnd"/>
    </w:p>
    <w:p w:rsidR="005D3D90" w:rsidRPr="005D3D90" w:rsidRDefault="005D3D90" w:rsidP="005D3D90">
      <w:pPr>
        <w:pStyle w:val="Estilopadro"/>
        <w:jc w:val="both"/>
        <w:rPr>
          <w:b/>
        </w:rPr>
      </w:pPr>
    </w:p>
    <w:p w:rsidR="005D3D90" w:rsidRDefault="005D3D90" w:rsidP="005D3D90">
      <w:pPr>
        <w:pStyle w:val="Estilopadro"/>
        <w:jc w:val="both"/>
      </w:pPr>
    </w:p>
    <w:p w:rsidR="005D3D90" w:rsidRDefault="005D3D90" w:rsidP="005D3D90">
      <w:pPr>
        <w:pStyle w:val="Estilopadro"/>
        <w:jc w:val="both"/>
      </w:pPr>
    </w:p>
    <w:p w:rsidR="005D3D90" w:rsidRDefault="005D3D90" w:rsidP="005D3D90">
      <w:pPr>
        <w:pStyle w:val="Estilopadro"/>
        <w:ind w:firstLine="2268"/>
        <w:jc w:val="both"/>
      </w:pPr>
      <w:r>
        <w:rPr>
          <w:rFonts w:ascii="Verdana" w:hAnsi="Verdana"/>
          <w:iCs/>
        </w:rPr>
        <w:t xml:space="preserve">Art. 1º Fica suprimido o art. 3º do </w:t>
      </w:r>
      <w:r>
        <w:rPr>
          <w:rFonts w:ascii="Verdana" w:hAnsi="Verdana" w:cs="DejaVu Sans"/>
          <w:bCs/>
        </w:rPr>
        <w:t>Projeto</w:t>
      </w:r>
      <w:r>
        <w:rPr>
          <w:rFonts w:ascii="Verdana" w:hAnsi="Verdana" w:cs="DejaVu Sans"/>
        </w:rPr>
        <w:t xml:space="preserve"> de Lei nº 33/2016 que “Autoriza abertura de crédito suplementar no valor de R$ 478.359,84 no orçamento fiscal do Município de Sete Lagoas, em favor da Secretaria Municipal de Obras, Infraestrutura e Políticas Urbanas”</w:t>
      </w:r>
      <w:proofErr w:type="gramStart"/>
      <w:r>
        <w:rPr>
          <w:rFonts w:ascii="Verdana" w:hAnsi="Verdana" w:cs="DejaVu Sans"/>
        </w:rPr>
        <w:t>.</w:t>
      </w:r>
      <w:r>
        <w:rPr>
          <w:rFonts w:ascii="Verdana" w:hAnsi="Verdana"/>
        </w:rPr>
        <w:t>:</w:t>
      </w:r>
      <w:proofErr w:type="gramEnd"/>
    </w:p>
    <w:p w:rsidR="005D3D90" w:rsidRDefault="005D3D90" w:rsidP="005D3D90">
      <w:pPr>
        <w:pStyle w:val="Estilopadro"/>
        <w:ind w:left="2268"/>
        <w:jc w:val="both"/>
      </w:pPr>
    </w:p>
    <w:p w:rsidR="005D3D90" w:rsidRDefault="005D3D90" w:rsidP="005D3D90">
      <w:pPr>
        <w:pStyle w:val="Estilopadro"/>
        <w:ind w:left="2268"/>
        <w:jc w:val="both"/>
      </w:pPr>
      <w:r>
        <w:rPr>
          <w:rFonts w:ascii="Verdana" w:hAnsi="Verdana"/>
          <w:i/>
          <w:iCs/>
        </w:rPr>
        <w:t>Art. 3º (Suprimido).</w:t>
      </w:r>
    </w:p>
    <w:p w:rsidR="005D3D90" w:rsidRDefault="005D3D90" w:rsidP="005D3D90">
      <w:pPr>
        <w:pStyle w:val="Estilopadro"/>
        <w:ind w:left="2268"/>
        <w:jc w:val="both"/>
      </w:pPr>
    </w:p>
    <w:p w:rsidR="005D3D90" w:rsidRDefault="005D3D90" w:rsidP="005D3D90">
      <w:pPr>
        <w:pStyle w:val="Estilopadro"/>
        <w:ind w:left="2268"/>
        <w:jc w:val="both"/>
      </w:pPr>
      <w:r>
        <w:rPr>
          <w:rFonts w:ascii="Verdana" w:hAnsi="Verdana"/>
          <w:iCs/>
        </w:rPr>
        <w:t>Sala das Reuniões, 01 de junho de 2016.</w:t>
      </w:r>
    </w:p>
    <w:p w:rsidR="005D3D90" w:rsidRDefault="005D3D90" w:rsidP="005D3D90">
      <w:pPr>
        <w:pStyle w:val="Estilopadro"/>
        <w:ind w:left="2268"/>
        <w:jc w:val="both"/>
      </w:pPr>
    </w:p>
    <w:p w:rsidR="005D3D90" w:rsidRDefault="005D3D90" w:rsidP="005D3D90">
      <w:pPr>
        <w:pStyle w:val="Estilopadro"/>
      </w:pPr>
    </w:p>
    <w:p w:rsidR="005D3D90" w:rsidRDefault="005D3D90" w:rsidP="005D3D90">
      <w:pPr>
        <w:pStyle w:val="Estilopadro"/>
        <w:ind w:firstLine="1843"/>
      </w:pPr>
    </w:p>
    <w:p w:rsidR="005D3D90" w:rsidRDefault="005D3D90" w:rsidP="005D3D90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5D3D90" w:rsidRDefault="005D3D90" w:rsidP="005D3D90">
      <w:pPr>
        <w:ind w:firstLine="2295"/>
        <w:rPr>
          <w:rFonts w:ascii="Verdana" w:hAnsi="Verdana"/>
        </w:rPr>
      </w:pPr>
      <w:r>
        <w:rPr>
          <w:rFonts w:ascii="Verdana" w:hAnsi="Verdana"/>
        </w:rPr>
        <w:t>Vereadora</w:t>
      </w:r>
    </w:p>
    <w:p w:rsidR="005D3D90" w:rsidRDefault="005D3D90" w:rsidP="005D3D90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Relatora substituta</w:t>
      </w:r>
    </w:p>
    <w:p w:rsidR="005D3D90" w:rsidRDefault="005D3D90" w:rsidP="005D3D90">
      <w:pPr>
        <w:ind w:firstLine="2295"/>
        <w:rPr>
          <w:rFonts w:ascii="Verdana" w:hAnsi="Verdana" w:cs="DejaVu Sans"/>
        </w:rPr>
      </w:pPr>
    </w:p>
    <w:p w:rsidR="005D3D90" w:rsidRDefault="005D3D90" w:rsidP="005D3D90">
      <w:pPr>
        <w:ind w:firstLine="2295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5D3D90" w:rsidRDefault="005D3D90" w:rsidP="005D3D90">
      <w:pPr>
        <w:ind w:firstLine="2295"/>
        <w:rPr>
          <w:rFonts w:ascii="Verdana" w:hAnsi="Verdana" w:cs="DejaVu Sans"/>
        </w:rPr>
      </w:pPr>
    </w:p>
    <w:p w:rsidR="005D3D90" w:rsidRDefault="005D3D90" w:rsidP="005D3D90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a relatora</w:t>
      </w:r>
    </w:p>
    <w:p w:rsidR="005D3D90" w:rsidRDefault="005D3D90" w:rsidP="005D3D90">
      <w:pPr>
        <w:ind w:firstLine="2295"/>
        <w:rPr>
          <w:rFonts w:ascii="Verdana" w:hAnsi="Verdana" w:cs="DejaVu Sans"/>
        </w:rPr>
      </w:pPr>
    </w:p>
    <w:p w:rsidR="005D3D90" w:rsidRDefault="005D3D90" w:rsidP="005D3D90">
      <w:pPr>
        <w:ind w:firstLine="2295"/>
        <w:rPr>
          <w:rFonts w:ascii="Verdana" w:hAnsi="Verdana" w:cs="DejaVu Sans"/>
        </w:rPr>
      </w:pPr>
    </w:p>
    <w:p w:rsidR="005D3D90" w:rsidRDefault="005D3D90" w:rsidP="005D3D90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Milton Maurício Martins</w:t>
      </w:r>
    </w:p>
    <w:p w:rsidR="005D3D90" w:rsidRDefault="005D3D90" w:rsidP="005D3D90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173744" w:rsidRDefault="00173744" w:rsidP="005D3D90">
      <w:pPr>
        <w:pStyle w:val="Estilopadro"/>
        <w:ind w:firstLine="1843"/>
      </w:pPr>
    </w:p>
    <w:sectPr w:rsidR="00173744" w:rsidSect="00173744">
      <w:headerReference w:type="default" r:id="rId8"/>
      <w:pgSz w:w="11906" w:h="16838"/>
      <w:pgMar w:top="3395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3E" w:rsidRDefault="00F93A3E" w:rsidP="00173744">
      <w:pPr>
        <w:spacing w:line="240" w:lineRule="auto"/>
      </w:pPr>
      <w:r>
        <w:separator/>
      </w:r>
    </w:p>
  </w:endnote>
  <w:endnote w:type="continuationSeparator" w:id="0">
    <w:p w:rsidR="00F93A3E" w:rsidRDefault="00F93A3E" w:rsidP="00173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3E" w:rsidRDefault="00F93A3E" w:rsidP="00173744">
      <w:pPr>
        <w:spacing w:line="240" w:lineRule="auto"/>
      </w:pPr>
      <w:r>
        <w:separator/>
      </w:r>
    </w:p>
  </w:footnote>
  <w:footnote w:type="continuationSeparator" w:id="0">
    <w:p w:rsidR="00F93A3E" w:rsidRDefault="00F93A3E" w:rsidP="00173744">
      <w:pPr>
        <w:spacing w:line="240" w:lineRule="auto"/>
      </w:pPr>
      <w:r>
        <w:continuationSeparator/>
      </w:r>
    </w:p>
  </w:footnote>
  <w:footnote w:id="1">
    <w:p w:rsidR="00BD1886" w:rsidRDefault="00BD1886" w:rsidP="00BD1886">
      <w:pPr>
        <w:pStyle w:val="Textodenotaderodap"/>
      </w:pPr>
      <w:r>
        <w:rPr>
          <w:rStyle w:val="Refdenotaderodap"/>
        </w:rPr>
        <w:footnoteRef/>
      </w:r>
      <w:r>
        <w:t xml:space="preserve"> Processo de Prestação de Contas n.º 887.314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744" w:rsidRDefault="000A73CA">
    <w:pPr>
      <w:pStyle w:val="Cabealho"/>
    </w:pPr>
    <w:r>
      <w:rPr>
        <w:noProof/>
      </w:rPr>
      <w:drawing>
        <wp:inline distT="0" distB="0" distL="0" distR="0">
          <wp:extent cx="6115050" cy="1076325"/>
          <wp:effectExtent l="0" t="0" r="0" b="0"/>
          <wp:docPr id="2" name="Picture" descr="Objeto 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Objeto O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44"/>
    <w:rsid w:val="00002596"/>
    <w:rsid w:val="000535F5"/>
    <w:rsid w:val="00073E06"/>
    <w:rsid w:val="000830EB"/>
    <w:rsid w:val="000967F7"/>
    <w:rsid w:val="000A73CA"/>
    <w:rsid w:val="00173744"/>
    <w:rsid w:val="0019139A"/>
    <w:rsid w:val="001F39C8"/>
    <w:rsid w:val="00296879"/>
    <w:rsid w:val="002A16A4"/>
    <w:rsid w:val="00303C85"/>
    <w:rsid w:val="00344550"/>
    <w:rsid w:val="0035723D"/>
    <w:rsid w:val="00414E34"/>
    <w:rsid w:val="00485EE9"/>
    <w:rsid w:val="004B55B9"/>
    <w:rsid w:val="00506DFA"/>
    <w:rsid w:val="00530308"/>
    <w:rsid w:val="00533B23"/>
    <w:rsid w:val="00540888"/>
    <w:rsid w:val="00562DBE"/>
    <w:rsid w:val="005938F7"/>
    <w:rsid w:val="005971EE"/>
    <w:rsid w:val="005D3D90"/>
    <w:rsid w:val="005E7BD6"/>
    <w:rsid w:val="005F4807"/>
    <w:rsid w:val="00604A52"/>
    <w:rsid w:val="00612B1F"/>
    <w:rsid w:val="00673F3F"/>
    <w:rsid w:val="006D1214"/>
    <w:rsid w:val="00725136"/>
    <w:rsid w:val="00777801"/>
    <w:rsid w:val="008B775C"/>
    <w:rsid w:val="00985F3B"/>
    <w:rsid w:val="009D0B03"/>
    <w:rsid w:val="009E3B4D"/>
    <w:rsid w:val="00A025B8"/>
    <w:rsid w:val="00A43733"/>
    <w:rsid w:val="00A74193"/>
    <w:rsid w:val="00A7762D"/>
    <w:rsid w:val="00B12299"/>
    <w:rsid w:val="00B235DB"/>
    <w:rsid w:val="00B7670B"/>
    <w:rsid w:val="00BD1886"/>
    <w:rsid w:val="00C60F96"/>
    <w:rsid w:val="00C62858"/>
    <w:rsid w:val="00CB5672"/>
    <w:rsid w:val="00CD439E"/>
    <w:rsid w:val="00D12BDF"/>
    <w:rsid w:val="00E2005E"/>
    <w:rsid w:val="00E6275C"/>
    <w:rsid w:val="00E84CF8"/>
    <w:rsid w:val="00EC49FB"/>
    <w:rsid w:val="00EE0847"/>
    <w:rsid w:val="00EF0169"/>
    <w:rsid w:val="00F15759"/>
    <w:rsid w:val="00F41D8B"/>
    <w:rsid w:val="00F44B7D"/>
    <w:rsid w:val="00F93A3E"/>
    <w:rsid w:val="00F9576A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3744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rsid w:val="0017374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173744"/>
    <w:pPr>
      <w:spacing w:after="120"/>
    </w:pPr>
  </w:style>
  <w:style w:type="paragraph" w:styleId="Lista">
    <w:name w:val="List"/>
    <w:basedOn w:val="Corpodotexto"/>
    <w:rsid w:val="00173744"/>
    <w:rPr>
      <w:rFonts w:cs="Mangal"/>
    </w:rPr>
  </w:style>
  <w:style w:type="paragraph" w:styleId="Legenda">
    <w:name w:val="caption"/>
    <w:basedOn w:val="Normal"/>
    <w:rsid w:val="0017374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73744"/>
    <w:pPr>
      <w:suppressLineNumbers/>
    </w:pPr>
    <w:rPr>
      <w:rFonts w:cs="Mangal"/>
    </w:rPr>
  </w:style>
  <w:style w:type="paragraph" w:styleId="Cabealho">
    <w:name w:val="header"/>
    <w:basedOn w:val="Normal"/>
    <w:rsid w:val="00173744"/>
  </w:style>
  <w:style w:type="paragraph" w:styleId="Textodebalo">
    <w:name w:val="Balloon Text"/>
    <w:basedOn w:val="Normal"/>
    <w:link w:val="TextodebaloChar"/>
    <w:uiPriority w:val="99"/>
    <w:semiHidden/>
    <w:unhideWhenUsed/>
    <w:rsid w:val="006D12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214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6D121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1214"/>
    <w:rPr>
      <w:rFonts w:ascii="Liberation Serif" w:eastAsia="DejaVu Sans" w:hAnsi="Liberation Serif" w:cs="Times New Roman"/>
      <w:color w:val="00000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419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4193"/>
    <w:rPr>
      <w:rFonts w:ascii="Liberation Serif" w:eastAsia="DejaVu Sans" w:hAnsi="Liberation Serif" w:cs="Times New Roman"/>
      <w:color w:val="00000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4193"/>
    <w:rPr>
      <w:vertAlign w:val="superscript"/>
    </w:rPr>
  </w:style>
  <w:style w:type="paragraph" w:customStyle="1" w:styleId="titulo30">
    <w:name w:val="titulo30"/>
    <w:basedOn w:val="Normal"/>
    <w:rsid w:val="00F41D8B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  <w:style w:type="paragraph" w:customStyle="1" w:styleId="titulo">
    <w:name w:val="titulo"/>
    <w:basedOn w:val="Normal"/>
    <w:rsid w:val="00F41D8B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  <w:style w:type="character" w:customStyle="1" w:styleId="apple-converted-space">
    <w:name w:val="apple-converted-space"/>
    <w:basedOn w:val="Fontepargpadro"/>
    <w:rsid w:val="00F41D8B"/>
  </w:style>
  <w:style w:type="paragraph" w:customStyle="1" w:styleId="Estilopadro">
    <w:name w:val="Estilo padrão"/>
    <w:rsid w:val="00E6275C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D18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73744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rsid w:val="0017374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173744"/>
    <w:pPr>
      <w:spacing w:after="120"/>
    </w:pPr>
  </w:style>
  <w:style w:type="paragraph" w:styleId="Lista">
    <w:name w:val="List"/>
    <w:basedOn w:val="Corpodotexto"/>
    <w:rsid w:val="00173744"/>
    <w:rPr>
      <w:rFonts w:cs="Mangal"/>
    </w:rPr>
  </w:style>
  <w:style w:type="paragraph" w:styleId="Legenda">
    <w:name w:val="caption"/>
    <w:basedOn w:val="Normal"/>
    <w:rsid w:val="0017374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173744"/>
    <w:pPr>
      <w:suppressLineNumbers/>
    </w:pPr>
    <w:rPr>
      <w:rFonts w:cs="Mangal"/>
    </w:rPr>
  </w:style>
  <w:style w:type="paragraph" w:styleId="Cabealho">
    <w:name w:val="header"/>
    <w:basedOn w:val="Normal"/>
    <w:rsid w:val="00173744"/>
  </w:style>
  <w:style w:type="paragraph" w:styleId="Textodebalo">
    <w:name w:val="Balloon Text"/>
    <w:basedOn w:val="Normal"/>
    <w:link w:val="TextodebaloChar"/>
    <w:uiPriority w:val="99"/>
    <w:semiHidden/>
    <w:unhideWhenUsed/>
    <w:rsid w:val="006D12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214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6D121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1214"/>
    <w:rPr>
      <w:rFonts w:ascii="Liberation Serif" w:eastAsia="DejaVu Sans" w:hAnsi="Liberation Serif" w:cs="Times New Roman"/>
      <w:color w:val="00000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4193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4193"/>
    <w:rPr>
      <w:rFonts w:ascii="Liberation Serif" w:eastAsia="DejaVu Sans" w:hAnsi="Liberation Serif" w:cs="Times New Roman"/>
      <w:color w:val="00000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4193"/>
    <w:rPr>
      <w:vertAlign w:val="superscript"/>
    </w:rPr>
  </w:style>
  <w:style w:type="paragraph" w:customStyle="1" w:styleId="titulo30">
    <w:name w:val="titulo30"/>
    <w:basedOn w:val="Normal"/>
    <w:rsid w:val="00F41D8B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  <w:style w:type="paragraph" w:customStyle="1" w:styleId="titulo">
    <w:name w:val="titulo"/>
    <w:basedOn w:val="Normal"/>
    <w:rsid w:val="00F41D8B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  <w:style w:type="character" w:customStyle="1" w:styleId="apple-converted-space">
    <w:name w:val="apple-converted-space"/>
    <w:basedOn w:val="Fontepargpadro"/>
    <w:rsid w:val="00F41D8B"/>
  </w:style>
  <w:style w:type="paragraph" w:customStyle="1" w:styleId="Estilopadro">
    <w:name w:val="Estilo padrão"/>
    <w:rsid w:val="00E6275C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D18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DBAAF-A455-49F9-859E-9E87562D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2015-02-13T17:00:00Z</cp:lastPrinted>
  <dcterms:created xsi:type="dcterms:W3CDTF">2016-06-07T12:46:00Z</dcterms:created>
  <dcterms:modified xsi:type="dcterms:W3CDTF">2016-06-07T12:46:00Z</dcterms:modified>
</cp:coreProperties>
</file>