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DB" w:rsidRDefault="00576CDB" w:rsidP="008B125C"/>
    <w:p w:rsidR="001F0843" w:rsidRDefault="001F0843" w:rsidP="008B125C"/>
    <w:p w:rsidR="001F0843" w:rsidRDefault="001F0843" w:rsidP="001F0843">
      <w:pPr>
        <w:jc w:val="both"/>
        <w:rPr>
          <w:rFonts w:ascii="Verdana" w:hAnsi="Verdana"/>
          <w:b/>
          <w:kern w:val="2"/>
          <w:sz w:val="22"/>
        </w:rPr>
      </w:pPr>
    </w:p>
    <w:p w:rsidR="001F0843" w:rsidRDefault="001F0843" w:rsidP="001F0843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EMENDA MODIFICATIVA n.º 02/2016 AO PROJETO DE LEI COMPLEMENTAR Nº 002/2016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Cs/>
          <w:sz w:val="22"/>
        </w:rPr>
        <w:t>que</w:t>
      </w:r>
      <w:r>
        <w:rPr>
          <w:rFonts w:ascii="Verdana" w:hAnsi="Verdana"/>
          <w:b/>
          <w:bCs/>
          <w:sz w:val="22"/>
        </w:rPr>
        <w:t xml:space="preserve"> </w:t>
      </w:r>
      <w:r>
        <w:rPr>
          <w:rFonts w:ascii="Verdana" w:hAnsi="Verdana" w:cs="DejaVu Sans"/>
          <w:sz w:val="22"/>
        </w:rPr>
        <w:t>“Dispõe sobre a regularização de edificações e dá outras providências”.</w:t>
      </w:r>
    </w:p>
    <w:p w:rsidR="001F0843" w:rsidRDefault="001F0843" w:rsidP="001F0843">
      <w:pPr>
        <w:ind w:firstLine="2520"/>
        <w:jc w:val="both"/>
        <w:rPr>
          <w:rFonts w:ascii="Verdana" w:hAnsi="Verdana"/>
          <w:sz w:val="22"/>
        </w:rPr>
      </w:pPr>
    </w:p>
    <w:p w:rsidR="001F0843" w:rsidRDefault="001F0843" w:rsidP="001F0843">
      <w:pPr>
        <w:ind w:firstLine="2520"/>
        <w:jc w:val="both"/>
        <w:rPr>
          <w:rFonts w:ascii="Verdana" w:hAnsi="Verdana"/>
          <w:sz w:val="22"/>
        </w:rPr>
      </w:pPr>
    </w:p>
    <w:p w:rsidR="001F0843" w:rsidRDefault="001F0843" w:rsidP="001F0843">
      <w:pPr>
        <w:ind w:firstLine="2520"/>
        <w:jc w:val="both"/>
        <w:rPr>
          <w:rFonts w:ascii="Verdana" w:hAnsi="Verdana"/>
          <w:sz w:val="22"/>
        </w:rPr>
      </w:pPr>
    </w:p>
    <w:p w:rsidR="001F0843" w:rsidRDefault="001F0843" w:rsidP="001F0843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 art. 19 do projeto de Lei Complementar n.º 002/2016:</w:t>
      </w:r>
    </w:p>
    <w:p w:rsidR="001F0843" w:rsidRDefault="001F0843" w:rsidP="001F0843">
      <w:pPr>
        <w:ind w:firstLine="2268"/>
        <w:jc w:val="both"/>
        <w:rPr>
          <w:rFonts w:ascii="Verdana" w:hAnsi="Verdana"/>
          <w:sz w:val="22"/>
        </w:rPr>
      </w:pPr>
    </w:p>
    <w:p w:rsidR="001F0843" w:rsidRDefault="001F0843" w:rsidP="001F0843">
      <w:pPr>
        <w:ind w:firstLine="2268"/>
        <w:jc w:val="both"/>
        <w:rPr>
          <w:rFonts w:ascii="Verdana" w:hAnsi="Verdana"/>
          <w:sz w:val="22"/>
        </w:rPr>
      </w:pPr>
    </w:p>
    <w:p w:rsidR="001F0843" w:rsidRDefault="001F0843" w:rsidP="001F0843">
      <w:pPr>
        <w:ind w:firstLine="2268"/>
        <w:jc w:val="both"/>
        <w:rPr>
          <w:rFonts w:ascii="Verdana" w:hAnsi="Verdana"/>
          <w:sz w:val="22"/>
        </w:rPr>
      </w:pP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“Art. 19 Esta Lei entra em vigor na data de sua publicação. </w:t>
      </w: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b/>
          <w:sz w:val="22"/>
          <w:szCs w:val="22"/>
        </w:rPr>
      </w:pP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sz w:val="22"/>
          <w:szCs w:val="22"/>
          <w:shd w:val="clear" w:color="auto" w:fill="FFFFFF"/>
        </w:rPr>
      </w:pPr>
      <w:r>
        <w:rPr>
          <w:rFonts w:ascii="Verdana" w:hAnsi="Verdana"/>
          <w:b/>
          <w:sz w:val="22"/>
          <w:szCs w:val="22"/>
        </w:rPr>
        <w:t xml:space="preserve">§1º </w:t>
      </w:r>
      <w:r>
        <w:rPr>
          <w:rFonts w:ascii="Verdana" w:hAnsi="Verdana"/>
          <w:b/>
          <w:sz w:val="22"/>
          <w:szCs w:val="22"/>
          <w:shd w:val="clear" w:color="auto" w:fill="FFFFFF"/>
        </w:rPr>
        <w:t>Os acréscimos de área edificada, posteriores a publicação desta lei não serão objeto de regularização com as permissões descritas na presente lei</w:t>
      </w:r>
      <w:r>
        <w:rPr>
          <w:rFonts w:ascii="Verdana" w:hAnsi="Verdana"/>
          <w:sz w:val="22"/>
          <w:szCs w:val="22"/>
          <w:shd w:val="clear" w:color="auto" w:fill="FFFFFF"/>
        </w:rPr>
        <w:t>.</w:t>
      </w: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 2º - A comprovação da existência da edificação será feita por meio de um dos seguintes documentos: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 - </w:t>
      </w:r>
      <w:proofErr w:type="gramStart"/>
      <w:r>
        <w:rPr>
          <w:rFonts w:ascii="Verdana" w:hAnsi="Verdana"/>
          <w:b/>
          <w:sz w:val="22"/>
          <w:szCs w:val="22"/>
        </w:rPr>
        <w:t>lançamento</w:t>
      </w:r>
      <w:proofErr w:type="gramEnd"/>
      <w:r>
        <w:rPr>
          <w:rFonts w:ascii="Verdana" w:hAnsi="Verdana"/>
          <w:b/>
          <w:sz w:val="22"/>
          <w:szCs w:val="22"/>
        </w:rPr>
        <w:t xml:space="preserve"> no Cadastro Imobiliário Municipal;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II - </w:t>
      </w:r>
      <w:proofErr w:type="gramStart"/>
      <w:r>
        <w:rPr>
          <w:rFonts w:ascii="Verdana" w:hAnsi="Verdana"/>
          <w:b/>
          <w:sz w:val="22"/>
          <w:szCs w:val="22"/>
        </w:rPr>
        <w:t>levantamento</w:t>
      </w:r>
      <w:proofErr w:type="gramEnd"/>
      <w:r>
        <w:rPr>
          <w:rFonts w:ascii="Verdana" w:hAnsi="Verdana"/>
          <w:b/>
          <w:sz w:val="22"/>
          <w:szCs w:val="22"/>
        </w:rPr>
        <w:t xml:space="preserve"> aerofotogramétrico do Município ou outro órgão oficial reconhecido por órgãos públicos, com referência da data do </w:t>
      </w:r>
      <w:proofErr w:type="spellStart"/>
      <w:r>
        <w:rPr>
          <w:rFonts w:ascii="Verdana" w:hAnsi="Verdana"/>
          <w:b/>
          <w:sz w:val="22"/>
          <w:szCs w:val="22"/>
        </w:rPr>
        <w:t>vôo</w:t>
      </w:r>
      <w:proofErr w:type="spellEnd"/>
      <w:r>
        <w:rPr>
          <w:rFonts w:ascii="Verdana" w:hAnsi="Verdana"/>
          <w:b/>
          <w:sz w:val="22"/>
          <w:szCs w:val="22"/>
        </w:rPr>
        <w:t>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III - imagem satélite com referência da data;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IV - </w:t>
      </w:r>
      <w:proofErr w:type="gramStart"/>
      <w:r>
        <w:rPr>
          <w:rFonts w:ascii="Verdana" w:hAnsi="Verdana"/>
          <w:b/>
          <w:sz w:val="22"/>
          <w:szCs w:val="22"/>
        </w:rPr>
        <w:t>foto</w:t>
      </w:r>
      <w:proofErr w:type="gramEnd"/>
      <w:r>
        <w:rPr>
          <w:rFonts w:ascii="Verdana" w:hAnsi="Verdana"/>
          <w:b/>
          <w:sz w:val="22"/>
          <w:szCs w:val="22"/>
        </w:rPr>
        <w:t xml:space="preserve"> aérea com referência da data;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 - </w:t>
      </w:r>
      <w:proofErr w:type="gramStart"/>
      <w:r>
        <w:rPr>
          <w:rFonts w:ascii="Verdana" w:hAnsi="Verdana"/>
          <w:b/>
          <w:sz w:val="22"/>
          <w:szCs w:val="22"/>
        </w:rPr>
        <w:t>laudo</w:t>
      </w:r>
      <w:proofErr w:type="gramEnd"/>
      <w:r>
        <w:rPr>
          <w:rFonts w:ascii="Verdana" w:hAnsi="Verdana"/>
          <w:b/>
          <w:sz w:val="22"/>
          <w:szCs w:val="22"/>
        </w:rPr>
        <w:t xml:space="preserve"> do Instituto de Geociências Aplicadas - IGA;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VI - </w:t>
      </w:r>
      <w:proofErr w:type="gramStart"/>
      <w:r>
        <w:rPr>
          <w:rFonts w:ascii="Verdana" w:hAnsi="Verdana"/>
          <w:b/>
          <w:sz w:val="22"/>
          <w:szCs w:val="22"/>
        </w:rPr>
        <w:t>laudo</w:t>
      </w:r>
      <w:proofErr w:type="gramEnd"/>
      <w:r>
        <w:rPr>
          <w:rFonts w:ascii="Verdana" w:hAnsi="Verdana"/>
          <w:b/>
          <w:sz w:val="22"/>
          <w:szCs w:val="22"/>
        </w:rPr>
        <w:t xml:space="preserve"> de vistoria ou notificação do Município, pelo Setor Competente;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 - Certidão Negativa de Débito - CND, da obra ou similar com disposição expressa que comprove que a obra é existente, com referência da data;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VIII - laudo emitido pelo Conselho Regional de Engenharia, Arquitetura e Agronomia de Minas Gerais - CREA/MG, com referência da data;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IX - </w:t>
      </w:r>
      <w:proofErr w:type="gramStart"/>
      <w:r>
        <w:rPr>
          <w:rFonts w:ascii="Verdana" w:hAnsi="Verdana"/>
          <w:b/>
          <w:sz w:val="22"/>
          <w:szCs w:val="22"/>
        </w:rPr>
        <w:t>termo</w:t>
      </w:r>
      <w:proofErr w:type="gramEnd"/>
      <w:r>
        <w:rPr>
          <w:rFonts w:ascii="Verdana" w:hAnsi="Verdana"/>
          <w:b/>
          <w:sz w:val="22"/>
          <w:szCs w:val="22"/>
        </w:rPr>
        <w:t xml:space="preserve"> de recebimento provisório de obra, para edificações públicas.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 3º - Para os fins de aplicação desta Lei considera-se que os documentos constantes dos incisos I, II, III e IV do § 2º deste artigo integram o Cadastro Imobiliário Municipal.</w:t>
      </w:r>
    </w:p>
    <w:p w:rsidR="001F0843" w:rsidRDefault="001F0843" w:rsidP="001F0843">
      <w:pPr>
        <w:pStyle w:val="Preformatted"/>
        <w:ind w:left="2268"/>
        <w:jc w:val="both"/>
        <w:rPr>
          <w:rFonts w:ascii="Verdana" w:hAnsi="Verdana"/>
          <w:b/>
          <w:sz w:val="22"/>
          <w:szCs w:val="22"/>
        </w:rPr>
      </w:pP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§ 4º Havendo indícios de falsidade da declaração, deve o responsável pela análise do projeto de regularização solicitar o envio dos autos à Procuradoria Geral do Município para a adoção das medidas cabíveis. </w:t>
      </w:r>
    </w:p>
    <w:p w:rsidR="001F0843" w:rsidRDefault="001F0843" w:rsidP="001F0843">
      <w:pPr>
        <w:pStyle w:val="Preformatted"/>
        <w:tabs>
          <w:tab w:val="clear" w:pos="0"/>
        </w:tabs>
        <w:ind w:left="2268"/>
        <w:jc w:val="both"/>
        <w:rPr>
          <w:rFonts w:ascii="Verdana" w:hAnsi="Verdana"/>
          <w:b/>
          <w:color w:val="000000"/>
          <w:sz w:val="22"/>
          <w:szCs w:val="24"/>
        </w:rPr>
      </w:pPr>
    </w:p>
    <w:p w:rsidR="001F0843" w:rsidRDefault="001F0843" w:rsidP="001F0843">
      <w:pPr>
        <w:ind w:firstLine="226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Sala das Reuniões, 18 de maio de 2016.</w:t>
      </w:r>
    </w:p>
    <w:p w:rsidR="001F0843" w:rsidRDefault="001F0843" w:rsidP="001F0843">
      <w:pPr>
        <w:ind w:firstLine="2268"/>
        <w:rPr>
          <w:rFonts w:ascii="Verdana" w:hAnsi="Verdana"/>
          <w:sz w:val="22"/>
        </w:rPr>
      </w:pPr>
    </w:p>
    <w:p w:rsidR="001F0843" w:rsidRDefault="001F0843" w:rsidP="001F0843">
      <w:pPr>
        <w:ind w:firstLine="2268"/>
        <w:rPr>
          <w:rFonts w:ascii="Verdana" w:hAnsi="Verdana"/>
          <w:sz w:val="22"/>
        </w:rPr>
      </w:pPr>
    </w:p>
    <w:p w:rsidR="001F0843" w:rsidRDefault="001F0843" w:rsidP="001F0843">
      <w:pPr>
        <w:tabs>
          <w:tab w:val="left" w:pos="201"/>
          <w:tab w:val="center" w:pos="4252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ab/>
        <w:t>COMISSÃO DE LEGISLAÇÃO E JUSTIÇA</w:t>
      </w: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Marcelo Pires Rodrigues</w:t>
      </w: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Presidente</w:t>
      </w: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Euro de Andrade Lanza</w:t>
      </w:r>
    </w:p>
    <w:p w:rsidR="001F0843" w:rsidRDefault="001F0843" w:rsidP="001F0843">
      <w:pPr>
        <w:ind w:firstLine="226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Vereador- Relator substituto</w:t>
      </w:r>
    </w:p>
    <w:p w:rsidR="001F0843" w:rsidRDefault="001F0843" w:rsidP="001F0843">
      <w:pPr>
        <w:ind w:firstLine="2268"/>
        <w:rPr>
          <w:rFonts w:ascii="Verdana" w:hAnsi="Verdana"/>
          <w:sz w:val="22"/>
        </w:rPr>
      </w:pPr>
    </w:p>
    <w:p w:rsidR="001F0843" w:rsidRDefault="001F0843" w:rsidP="001F0843">
      <w:pPr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COMISSÃO DE FISCALIZAÇÃO FINANCEIRA E ORÇAMENTÁRIA E DE TOMADA DE CONTAS</w:t>
      </w:r>
    </w:p>
    <w:p w:rsidR="001F0843" w:rsidRDefault="001F0843" w:rsidP="001F0843">
      <w:pPr>
        <w:ind w:firstLine="2268"/>
        <w:rPr>
          <w:rFonts w:ascii="Verdana" w:hAnsi="Verdana"/>
          <w:b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Milton Maurício Martins</w:t>
      </w: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Presidente</w:t>
      </w: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Joaquim Gonzaga Barbosa</w:t>
      </w: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Relator</w:t>
      </w: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</w:p>
    <w:p w:rsidR="001F0843" w:rsidRDefault="001F0843" w:rsidP="001F0843">
      <w:pPr>
        <w:ind w:firstLine="2295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Marli Aparecida Barbosa</w:t>
      </w:r>
    </w:p>
    <w:p w:rsidR="001F0843" w:rsidRDefault="001F0843" w:rsidP="001F0843">
      <w:pPr>
        <w:ind w:firstLine="2355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Vereadora</w:t>
      </w:r>
    </w:p>
    <w:p w:rsidR="001F0843" w:rsidRDefault="001F0843" w:rsidP="001F0843">
      <w:pPr>
        <w:ind w:left="2268"/>
        <w:rPr>
          <w:rFonts w:ascii="Verdana" w:hAnsi="Verdana" w:cs="Arial"/>
          <w:sz w:val="22"/>
          <w:szCs w:val="22"/>
        </w:rPr>
      </w:pPr>
    </w:p>
    <w:p w:rsidR="001F0843" w:rsidRPr="008B125C" w:rsidRDefault="001F0843" w:rsidP="008B125C">
      <w:bookmarkStart w:id="0" w:name="_GoBack"/>
      <w:bookmarkEnd w:id="0"/>
    </w:p>
    <w:sectPr w:rsidR="001F0843" w:rsidRPr="008B12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3F" w:rsidRDefault="0029563F" w:rsidP="00963EEE">
      <w:r>
        <w:separator/>
      </w:r>
    </w:p>
  </w:endnote>
  <w:endnote w:type="continuationSeparator" w:id="0">
    <w:p w:rsidR="0029563F" w:rsidRDefault="0029563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3F" w:rsidRDefault="0029563F" w:rsidP="00963EEE">
      <w:r>
        <w:separator/>
      </w:r>
    </w:p>
  </w:footnote>
  <w:footnote w:type="continuationSeparator" w:id="0">
    <w:p w:rsidR="0029563F" w:rsidRDefault="0029563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1F0843"/>
    <w:rsid w:val="0029563F"/>
    <w:rsid w:val="0055362B"/>
    <w:rsid w:val="00576CDB"/>
    <w:rsid w:val="008B125C"/>
    <w:rsid w:val="008E4B91"/>
    <w:rsid w:val="009436F1"/>
    <w:rsid w:val="00963EEE"/>
    <w:rsid w:val="009C20C5"/>
    <w:rsid w:val="00D1003B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0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20C5"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9C20C5"/>
    <w:pPr>
      <w:keepNext/>
      <w:numPr>
        <w:ilvl w:val="1"/>
        <w:numId w:val="1"/>
      </w:numPr>
      <w:jc w:val="center"/>
      <w:outlineLvl w:val="1"/>
    </w:pPr>
    <w:rPr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9C20C5"/>
    <w:rPr>
      <w:rFonts w:ascii="Times New Roman" w:eastAsia="Times New Roman" w:hAnsi="Times New Roman" w:cs="Times New Roman"/>
      <w:b/>
      <w:bCs/>
      <w:kern w:val="1"/>
      <w:sz w:val="36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C20C5"/>
    <w:rPr>
      <w:rFonts w:ascii="Times New Roman" w:eastAsia="Times New Roman" w:hAnsi="Times New Roman" w:cs="Times New Roman"/>
      <w:i/>
      <w:iCs/>
      <w:kern w:val="1"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0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0C5"/>
    <w:rPr>
      <w:rFonts w:ascii="Segoe UI" w:eastAsia="Times New Roman" w:hAnsi="Segoe UI" w:cs="Segoe UI"/>
      <w:kern w:val="1"/>
      <w:sz w:val="18"/>
      <w:szCs w:val="18"/>
    </w:rPr>
  </w:style>
  <w:style w:type="paragraph" w:customStyle="1" w:styleId="Preformatted">
    <w:name w:val="Preformatted"/>
    <w:basedOn w:val="Normal"/>
    <w:rsid w:val="001F08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2016-04-28T16:42:00Z</cp:lastPrinted>
  <dcterms:created xsi:type="dcterms:W3CDTF">2016-05-23T18:06:00Z</dcterms:created>
  <dcterms:modified xsi:type="dcterms:W3CDTF">2016-05-23T18:06:00Z</dcterms:modified>
</cp:coreProperties>
</file>