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wmf" ContentType="image/x-wmf"/>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Fonts w:ascii="Tahoma" w:cs="Tahoma" w:hAnsi="Tahoma"/>
          <w:b/>
          <w:bCs/>
        </w:rPr>
      </w:r>
    </w:p>
    <w:p>
      <w:pPr>
        <w:pStyle w:val="style0"/>
        <w:jc w:val="right"/>
      </w:pPr>
      <w:r>
        <w:rPr>
          <w:rFonts w:ascii="Arial" w:cs="Arial" w:hAnsi="Arial"/>
          <w:b/>
          <w:bCs/>
        </w:rPr>
        <w:t>REQUERIMENTO  N.°_____/2016</w:t>
      </w:r>
    </w:p>
    <w:p>
      <w:pPr>
        <w:pStyle w:val="style0"/>
        <w:jc w:val="right"/>
      </w:pPr>
      <w:r>
        <w:rPr>
          <w:rFonts w:ascii="Arial" w:cs="Arial" w:hAnsi="Arial"/>
          <w:b/>
          <w:bCs/>
        </w:rPr>
      </w:r>
    </w:p>
    <w:p>
      <w:pPr>
        <w:pStyle w:val="style0"/>
        <w:jc w:val="center"/>
      </w:pPr>
      <w:r>
        <w:rPr>
          <w:rFonts w:ascii="Arial" w:cs="Arial" w:hAnsi="Arial"/>
          <w:b/>
          <w:bCs/>
        </w:rPr>
      </w:r>
    </w:p>
    <w:p>
      <w:pPr>
        <w:pStyle w:val="style0"/>
        <w:overflowPunct w:val="true"/>
      </w:pPr>
      <w:r>
        <w:rPr>
          <w:rFonts w:ascii="Arial" w:cs="Arial" w:hAnsi="Arial"/>
        </w:rPr>
        <w:t>Exmo. Sr. Presidente da Câmara Municipal de Sete Lagoas/MG</w:t>
      </w:r>
    </w:p>
    <w:p>
      <w:pPr>
        <w:pStyle w:val="style0"/>
        <w:jc w:val="both"/>
      </w:pPr>
      <w:r>
        <w:rPr>
          <w:rFonts w:ascii="Arial" w:cs="Arial" w:hAnsi="Arial"/>
          <w:b/>
        </w:rPr>
      </w:r>
    </w:p>
    <w:p>
      <w:pPr>
        <w:pStyle w:val="style0"/>
        <w:jc w:val="both"/>
      </w:pPr>
      <w:r>
        <w:rPr>
          <w:rFonts w:ascii="Arial" w:cs="Arial" w:hAnsi="Arial"/>
          <w:b/>
        </w:rPr>
      </w:r>
    </w:p>
    <w:p>
      <w:pPr>
        <w:pStyle w:val="style0"/>
        <w:jc w:val="both"/>
      </w:pPr>
      <w:r>
        <w:rPr>
          <w:rFonts w:ascii="Arial" w:cs="Arial" w:hAnsi="Arial"/>
          <w:b/>
        </w:rPr>
        <w:t>Sr. Fabrício Augusto Carvalho do Nascimento</w:t>
      </w:r>
    </w:p>
    <w:p>
      <w:pPr>
        <w:pStyle w:val="style0"/>
      </w:pPr>
      <w:r>
        <w:rPr>
          <w:rFonts w:ascii="Arial" w:cs="Arial" w:hAnsi="Arial"/>
          <w:b/>
          <w:bCs/>
        </w:rPr>
      </w:r>
    </w:p>
    <w:p>
      <w:pPr>
        <w:pStyle w:val="style0"/>
      </w:pPr>
      <w:r>
        <w:rPr>
          <w:rFonts w:ascii="Arial" w:cs="Arial" w:hAnsi="Arial"/>
          <w:b/>
          <w:bCs/>
        </w:rPr>
      </w:r>
    </w:p>
    <w:p>
      <w:pPr>
        <w:pStyle w:val="style0"/>
        <w:jc w:val="center"/>
      </w:pPr>
      <w:r>
        <w:rPr>
          <w:rFonts w:ascii="Arial" w:cs="Arial" w:hAnsi="Arial"/>
          <w:b/>
          <w:bCs/>
        </w:rPr>
      </w:r>
    </w:p>
    <w:p>
      <w:pPr>
        <w:pStyle w:val="style0"/>
        <w:spacing w:line="276" w:lineRule="auto"/>
        <w:jc w:val="both"/>
      </w:pPr>
      <w:r>
        <w:rPr>
          <w:rFonts w:ascii="Arial" w:cs="Arial" w:hAnsi="Arial"/>
          <w:bCs/>
          <w:iCs/>
        </w:rPr>
        <w:t xml:space="preserve"> </w:t>
      </w:r>
      <w:r>
        <w:rPr>
          <w:rFonts w:ascii="Arial" w:cs="Arial" w:hAnsi="Arial"/>
          <w:bCs/>
          <w:iCs/>
        </w:rPr>
        <w:tab/>
        <w:tab/>
        <w:t xml:space="preserve">O Vereador que este subscreve, na observância dos poderes lhe atribuídos pela Lei Orgânica Municipal e Regimento Interno desta egrégia casa, requer da mesa diretora, pautado no art. 202, inciso XI do RI, que seja oficiado o Ilmo. Coordenador Jurídico do DLO (departamento de Licenciamento de Obras) </w:t>
      </w:r>
      <w:bookmarkStart w:id="0" w:name="__DdeLink__242_1508093958"/>
      <w:r>
        <w:rPr>
          <w:rFonts w:ascii="Arial" w:cs="Arial" w:hAnsi="Arial"/>
          <w:bCs/>
          <w:iCs/>
        </w:rPr>
        <w:t>do Município de Sete Lagoas/MG, Sr. Gustavo Guimarães dos Santos Henrique, para que este, sob pena de infração administrativa sujeita à responsabilização,</w:t>
      </w:r>
      <w:r>
        <w:rPr>
          <w:rFonts w:ascii="Arial" w:cs="Arial" w:hAnsi="Arial"/>
        </w:rPr>
        <w:t xml:space="preserve"> </w:t>
      </w:r>
      <w:bookmarkEnd w:id="0"/>
      <w:r>
        <w:rPr>
          <w:rFonts w:ascii="Arial" w:cs="Arial" w:hAnsi="Arial"/>
          <w:bCs/>
          <w:iCs/>
        </w:rPr>
        <w:t>preste informações fundamentadas sobre a legalidade do Alvará concedido à Empresa Línea Construções e Empreendimentos Ltda. para construção de um conjunto habitacional que pretende conter 14 (quatorze) apartamentos na Rua Teresa do Menino Jesus França, n. 481, bairro Chácaras Esplanada do Moinho, sentido centro de controle de zoonoses municipal, nesta cidade, planta do empreendimento anexa – extraída do sítio eletrônico da construtora em questão.</w:t>
      </w:r>
    </w:p>
    <w:p>
      <w:pPr>
        <w:pStyle w:val="style0"/>
        <w:spacing w:line="276" w:lineRule="auto"/>
        <w:jc w:val="both"/>
      </w:pPr>
      <w:r>
        <w:rPr>
          <w:rFonts w:ascii="Arial" w:cs="Arial" w:hAnsi="Arial"/>
          <w:bCs/>
          <w:iCs/>
        </w:rPr>
      </w:r>
    </w:p>
    <w:p>
      <w:pPr>
        <w:pStyle w:val="style0"/>
        <w:spacing w:line="276" w:lineRule="auto"/>
        <w:jc w:val="both"/>
      </w:pPr>
      <w:r>
        <w:rPr>
          <w:rFonts w:ascii="Arial" w:cs="Arial" w:hAnsi="Arial"/>
          <w:bCs/>
          <w:iCs/>
        </w:rPr>
        <w:t xml:space="preserve"> </w:t>
      </w:r>
      <w:r>
        <w:rPr>
          <w:rFonts w:ascii="Arial" w:cs="Arial" w:hAnsi="Arial"/>
          <w:bCs/>
          <w:iCs/>
        </w:rPr>
        <w:tab/>
        <w:tab/>
        <w:t xml:space="preserve">Esclareço que, procurado pela Associação dos Moradores da Esplanada do Moinho, o representante desta informou que entrou em contato com o DLO para informar uma irregularidade urbanística na citada obra. No entanto, nenhum servidor responsável pelo Departamento se prontificou a atendê-los, restando-lhes apenas uma informação repassada por um atendente que informou que a obra é regular e por isso vai seguir licenciada. </w:t>
      </w:r>
    </w:p>
    <w:p>
      <w:pPr>
        <w:pStyle w:val="style0"/>
        <w:spacing w:line="276" w:lineRule="auto"/>
        <w:jc w:val="both"/>
      </w:pPr>
      <w:r>
        <w:rPr>
          <w:rFonts w:ascii="Arial" w:cs="Arial" w:hAnsi="Arial"/>
          <w:bCs/>
          <w:iCs/>
        </w:rPr>
      </w:r>
    </w:p>
    <w:p>
      <w:pPr>
        <w:pStyle w:val="style0"/>
        <w:spacing w:line="276" w:lineRule="auto"/>
        <w:jc w:val="both"/>
      </w:pPr>
      <w:r>
        <w:rPr>
          <w:rFonts w:ascii="Arial" w:cs="Arial" w:hAnsi="Arial"/>
          <w:bCs/>
          <w:iCs/>
        </w:rPr>
        <w:tab/>
        <w:tab/>
        <w:t xml:space="preserve">Mas, conforme pesquisa realizada por este gabinete, </w:t>
      </w:r>
      <w:r>
        <w:rPr>
          <w:rFonts w:ascii="Arial" w:cs="Arial" w:hAnsi="Arial"/>
          <w:shd w:fill="FFFFFF" w:val="clear"/>
        </w:rPr>
        <w:t xml:space="preserve">restou claro que quando idealizado, o bairro Chácaras Esplanadas do Moinho foi parcelado em lotes de no mínimo 1.000 m2 (mil metros quadrados), sendo vedado o fracionamento e a construção de mais de uma residência por lote nos termos da cláusula oitava do contrato padrão do loteamento: </w:t>
      </w:r>
      <w:r>
        <w:rPr>
          <w:rFonts w:ascii="Arial" w:cs="Arial" w:hAnsi="Arial"/>
          <w:i/>
          <w:sz w:val="20"/>
          <w:szCs w:val="20"/>
        </w:rPr>
        <w:t xml:space="preserve">08 – A chácara objeto deste contrato é exclusivamente residencial, sendo expressamente proibida </w:t>
      </w:r>
      <w:r>
        <w:rPr>
          <w:rFonts w:ascii="Arial" w:cs="Arial" w:hAnsi="Arial"/>
          <w:b/>
          <w:i/>
          <w:sz w:val="20"/>
          <w:szCs w:val="20"/>
          <w:u w:val="single"/>
        </w:rPr>
        <w:t>a sua utilização para fins comerciais e ou atividades lucrativas, CONSTRUÇÃO DE MAIS DE UM IMÓVEL para aluguel e desmembramento.</w:t>
      </w:r>
      <w:r>
        <w:rPr>
          <w:rFonts w:ascii="Arial" w:cs="Arial" w:hAnsi="Arial"/>
          <w:b/>
          <w:i/>
          <w:sz w:val="20"/>
          <w:szCs w:val="20"/>
        </w:rPr>
        <w:t xml:space="preserve"> </w:t>
      </w:r>
      <w:r>
        <w:rPr>
          <w:rFonts w:ascii="Arial" w:cs="Arial" w:hAnsi="Arial"/>
          <w:shd w:fill="FFFFFF" w:val="clear"/>
        </w:rPr>
        <w:t xml:space="preserve">(cópia anexa). Este instrumento padrão possui plena validade porque foi depositado em cartório em atendimento ao </w:t>
      </w:r>
      <w:r>
        <w:rPr>
          <w:rFonts w:ascii="Arial" w:cs="Arial" w:hAnsi="Arial"/>
        </w:rPr>
        <w:t>art. 26, caput e inciso VII, e 18, VI da Lei Federal</w:t>
      </w:r>
      <w:r>
        <w:rPr>
          <w:rFonts w:ascii="Arial" w:cs="Arial" w:hAnsi="Arial"/>
          <w:shd w:fill="FFFFFF" w:val="clear"/>
        </w:rPr>
        <w:t xml:space="preserve"> 6.766/1979, norma geral que deve ser observada pela Municipalidade para a aprovação de uma expansão urbana, vejamos:</w:t>
      </w:r>
    </w:p>
    <w:p>
      <w:pPr>
        <w:pStyle w:val="style28"/>
        <w:spacing w:after="28" w:before="28" w:line="276" w:lineRule="auto"/>
        <w:ind w:hanging="0" w:left="1418" w:right="0"/>
        <w:contextualSpacing w:val="false"/>
        <w:jc w:val="both"/>
      </w:pPr>
      <w:r>
        <w:rPr>
          <w:rFonts w:ascii="Arial" w:cs="Arial" w:hAnsi="Arial"/>
          <w:b/>
          <w:sz w:val="20"/>
          <w:szCs w:val="20"/>
        </w:rPr>
        <w:t>Lei 6.766/79</w:t>
      </w:r>
      <w:r>
        <w:rPr>
          <w:rFonts w:ascii="Arial" w:cs="Arial" w:hAnsi="Arial"/>
          <w:sz w:val="20"/>
          <w:szCs w:val="20"/>
        </w:rPr>
        <w:t xml:space="preserve"> - Art. 26. Os compromissos de compra e venda, as cessões ou promessas de cessão poderão ser feitos por escritura pública ou por instrumento particular, </w:t>
      </w:r>
      <w:r>
        <w:rPr>
          <w:rFonts w:ascii="Arial" w:cs="Arial" w:hAnsi="Arial"/>
          <w:sz w:val="20"/>
          <w:szCs w:val="20"/>
          <w:u w:val="single"/>
        </w:rPr>
        <w:t>de acordo com o modelo depositado na forma do inciso VI do art. 18</w:t>
      </w:r>
      <w:r>
        <w:rPr>
          <w:rFonts w:ascii="Arial" w:cs="Arial" w:hAnsi="Arial"/>
          <w:sz w:val="20"/>
          <w:szCs w:val="20"/>
        </w:rPr>
        <w:t xml:space="preserve"> e conterão, pelo menos, as seguintes indicações:</w:t>
      </w:r>
    </w:p>
    <w:p>
      <w:pPr>
        <w:pStyle w:val="style28"/>
        <w:spacing w:after="28" w:before="28" w:line="276" w:lineRule="auto"/>
        <w:ind w:hanging="0" w:left="2835" w:right="0"/>
        <w:contextualSpacing w:val="false"/>
        <w:jc w:val="both"/>
      </w:pPr>
      <w:r>
        <w:rPr>
          <w:rFonts w:ascii="Arial" w:cs="Arial" w:hAnsi="Arial"/>
          <w:sz w:val="20"/>
          <w:szCs w:val="20"/>
        </w:rPr>
        <w:t xml:space="preserve">VII - </w:t>
      </w:r>
      <w:r>
        <w:rPr>
          <w:rFonts w:ascii="Arial" w:cs="Arial" w:hAnsi="Arial"/>
          <w:b/>
          <w:sz w:val="20"/>
          <w:szCs w:val="20"/>
        </w:rPr>
        <w:t xml:space="preserve">declaração </w:t>
      </w:r>
      <w:r>
        <w:rPr>
          <w:rFonts w:ascii="Arial" w:cs="Arial" w:hAnsi="Arial"/>
          <w:b/>
          <w:sz w:val="20"/>
          <w:szCs w:val="20"/>
          <w:u w:val="single"/>
        </w:rPr>
        <w:t xml:space="preserve">das restrições urbanísticas convencionais do loteamento, </w:t>
      </w:r>
      <w:r>
        <w:rPr>
          <w:rFonts w:ascii="Arial" w:cs="Arial" w:hAnsi="Arial"/>
          <w:b/>
          <w:sz w:val="18"/>
          <w:szCs w:val="20"/>
          <w:u w:val="single"/>
        </w:rPr>
        <w:t>SUPLETIVAS DA LEGISLAÇÃO PERTINENTE.</w:t>
      </w:r>
    </w:p>
    <w:p>
      <w:pPr>
        <w:pStyle w:val="style28"/>
        <w:spacing w:after="28" w:before="28" w:line="276" w:lineRule="auto"/>
        <w:ind w:hanging="0" w:left="1418" w:right="0"/>
        <w:contextualSpacing w:val="false"/>
        <w:jc w:val="both"/>
      </w:pPr>
      <w:r>
        <w:rPr>
          <w:rFonts w:ascii="Arial" w:cs="Arial" w:hAnsi="Arial"/>
          <w:sz w:val="20"/>
          <w:szCs w:val="20"/>
        </w:rPr>
        <w:t xml:space="preserve"> </w:t>
      </w:r>
      <w:r>
        <w:rPr>
          <w:rFonts w:ascii="Arial" w:cs="Arial" w:hAnsi="Arial"/>
          <w:sz w:val="20"/>
          <w:szCs w:val="20"/>
        </w:rPr>
        <w:tab/>
        <w:tab/>
        <w:t>Art. 18 - Aprovado o projeto de loteamento ou de desmembramento, o loteador deverá submetê-lo ao registro imobiliário dentro de 180 (cento e oitenta) dias, sob pena de caducidade da aprovação, acompanhado dos seguintes documentos:</w:t>
      </w:r>
    </w:p>
    <w:p>
      <w:pPr>
        <w:pStyle w:val="style28"/>
        <w:spacing w:after="28" w:before="28" w:line="276" w:lineRule="auto"/>
        <w:ind w:hanging="0" w:left="2835" w:right="0"/>
        <w:contextualSpacing w:val="false"/>
        <w:jc w:val="both"/>
      </w:pPr>
      <w:r>
        <w:rPr>
          <w:rFonts w:ascii="Arial" w:cs="Arial" w:hAnsi="Arial"/>
          <w:sz w:val="20"/>
          <w:szCs w:val="20"/>
        </w:rPr>
        <w:t xml:space="preserve">VI - </w:t>
      </w:r>
      <w:r>
        <w:rPr>
          <w:rFonts w:ascii="Arial" w:cs="Arial" w:hAnsi="Arial"/>
          <w:sz w:val="20"/>
          <w:szCs w:val="20"/>
          <w:u w:val="single"/>
        </w:rPr>
        <w:t>exemplar do contrato-padrão</w:t>
      </w:r>
      <w:r>
        <w:rPr>
          <w:rFonts w:ascii="Arial" w:cs="Arial" w:hAnsi="Arial"/>
          <w:b/>
          <w:sz w:val="20"/>
          <w:szCs w:val="20"/>
          <w:u w:val="single"/>
        </w:rPr>
        <w:t xml:space="preserve"> de promessa de venda</w:t>
      </w:r>
      <w:r>
        <w:rPr>
          <w:rFonts w:ascii="Arial" w:cs="Arial" w:hAnsi="Arial"/>
          <w:sz w:val="20"/>
          <w:szCs w:val="20"/>
        </w:rPr>
        <w:t xml:space="preserve">, ou de cessão ou de promessa de cessão do qual </w:t>
      </w:r>
      <w:r>
        <w:rPr>
          <w:rFonts w:ascii="Arial" w:cs="Arial" w:hAnsi="Arial"/>
          <w:b/>
          <w:sz w:val="20"/>
          <w:szCs w:val="20"/>
          <w:u w:val="single"/>
        </w:rPr>
        <w:t>constarão obrigatoriamente as indicações previstas desta lei</w:t>
      </w:r>
      <w:r>
        <w:rPr>
          <w:rFonts w:ascii="Arial" w:cs="Arial" w:hAnsi="Arial"/>
          <w:sz w:val="20"/>
          <w:szCs w:val="20"/>
        </w:rPr>
        <w:t>.</w:t>
      </w:r>
    </w:p>
    <w:p>
      <w:pPr>
        <w:pStyle w:val="style0"/>
        <w:spacing w:line="276" w:lineRule="auto"/>
        <w:jc w:val="both"/>
      </w:pPr>
      <w:r>
        <w:rPr>
          <w:rFonts w:ascii="Arial" w:cs="Arial" w:hAnsi="Arial"/>
          <w:bCs/>
          <w:iCs/>
        </w:rPr>
      </w:r>
    </w:p>
    <w:p>
      <w:pPr>
        <w:pStyle w:val="style0"/>
        <w:spacing w:line="276" w:lineRule="auto"/>
        <w:jc w:val="both"/>
      </w:pPr>
      <w:r>
        <w:rPr>
          <w:rFonts w:ascii="Arial" w:cs="Arial" w:hAnsi="Arial"/>
          <w:bCs/>
          <w:iCs/>
        </w:rPr>
        <w:t xml:space="preserve"> </w:t>
      </w:r>
      <w:r>
        <w:rPr>
          <w:rFonts w:ascii="Arial" w:cs="Arial" w:hAnsi="Arial"/>
          <w:bCs/>
          <w:iCs/>
        </w:rPr>
        <w:tab/>
        <w:tab/>
        <w:t>Para atender a legislação federal, a Lei Complementar Municipal n. 07, de 23 de setembro de 1991, revista pela Lei Complementar 87/2003 e pelo Plano Diretor Municipal, traz os seguintes ordenamentos:</w:t>
      </w:r>
    </w:p>
    <w:p>
      <w:pPr>
        <w:pStyle w:val="style0"/>
        <w:spacing w:line="276" w:lineRule="auto"/>
        <w:jc w:val="both"/>
      </w:pPr>
      <w:r>
        <w:rPr>
          <w:rFonts w:ascii="Arial" w:cs="Arial" w:hAnsi="Arial"/>
          <w:bCs/>
          <w:iCs/>
        </w:rPr>
      </w:r>
    </w:p>
    <w:p>
      <w:pPr>
        <w:pStyle w:val="style0"/>
        <w:spacing w:line="276" w:lineRule="auto"/>
        <w:ind w:firstLine="1417" w:left="1418" w:right="0"/>
        <w:jc w:val="both"/>
      </w:pPr>
      <w:r>
        <w:rPr>
          <w:rFonts w:ascii="Arial" w:cs="Arial" w:hAnsi="Arial"/>
          <w:bCs/>
          <w:iCs/>
          <w:sz w:val="20"/>
          <w:szCs w:val="20"/>
        </w:rPr>
        <w:t xml:space="preserve">LC n.7/91 – </w:t>
      </w:r>
      <w:r>
        <w:rPr>
          <w:rFonts w:ascii="Arial" w:cs="Arial" w:hAnsi="Arial"/>
          <w:b/>
          <w:bCs/>
          <w:iCs/>
          <w:sz w:val="20"/>
          <w:szCs w:val="20"/>
          <w:u w:val="single"/>
        </w:rPr>
        <w:t>Dispõe sobre o Parcelamento do Solo Urbano e dá outras providências</w:t>
      </w:r>
      <w:r>
        <w:rPr>
          <w:rFonts w:ascii="Arial" w:cs="Arial" w:hAnsi="Arial"/>
          <w:bCs/>
          <w:iCs/>
          <w:sz w:val="20"/>
          <w:szCs w:val="20"/>
        </w:rPr>
        <w:t xml:space="preserve">. Art. 2º - O parcelamento do solo urbano poderá ser feito mediante loteamento ou desmembramento, observadas as disposições desta lei </w:t>
      </w:r>
      <w:r>
        <w:rPr>
          <w:rFonts w:ascii="Arial" w:cs="Arial" w:hAnsi="Arial"/>
          <w:b/>
          <w:bCs/>
          <w:iCs/>
          <w:sz w:val="20"/>
          <w:szCs w:val="20"/>
          <w:u w:val="single"/>
        </w:rPr>
        <w:t>e as das legislações federal e estadual pertinentes</w:t>
      </w:r>
      <w:r>
        <w:rPr>
          <w:rFonts w:ascii="Arial" w:cs="Arial" w:hAnsi="Arial"/>
          <w:bCs/>
          <w:iCs/>
          <w:sz w:val="20"/>
          <w:szCs w:val="20"/>
        </w:rPr>
        <w:t>.</w:t>
      </w:r>
    </w:p>
    <w:p>
      <w:pPr>
        <w:pStyle w:val="style0"/>
        <w:spacing w:line="276" w:lineRule="auto"/>
        <w:ind w:firstLine="1417" w:left="1418" w:right="0"/>
        <w:jc w:val="both"/>
      </w:pPr>
      <w:r>
        <w:rPr>
          <w:rFonts w:ascii="Arial" w:cs="Arial" w:hAnsi="Arial"/>
          <w:bCs/>
          <w:iCs/>
          <w:sz w:val="20"/>
          <w:szCs w:val="20"/>
        </w:rPr>
      </w:r>
    </w:p>
    <w:p>
      <w:pPr>
        <w:pStyle w:val="style0"/>
        <w:spacing w:line="276" w:lineRule="auto"/>
        <w:ind w:firstLine="1417" w:left="1418" w:right="0"/>
        <w:jc w:val="both"/>
      </w:pPr>
      <w:r>
        <w:rPr>
          <w:rFonts w:ascii="Arial" w:cs="Arial" w:hAnsi="Arial"/>
          <w:bCs/>
          <w:iCs/>
          <w:sz w:val="20"/>
          <w:szCs w:val="20"/>
        </w:rPr>
        <w:t xml:space="preserve">Art. 10 – Antes da elaboração do projeto de loteamento o interessado </w:t>
      </w:r>
      <w:r>
        <w:rPr>
          <w:rFonts w:ascii="Arial" w:cs="Arial" w:hAnsi="Arial"/>
          <w:b/>
          <w:bCs/>
          <w:iCs/>
          <w:sz w:val="20"/>
          <w:szCs w:val="20"/>
          <w:u w:val="single"/>
        </w:rPr>
        <w:t>deverá solicitar à Prefeitura Municipal que defina as diretrizes urbanísticas para o uso do solo</w:t>
      </w:r>
      <w:r>
        <w:rPr>
          <w:rFonts w:ascii="Arial" w:cs="Arial" w:hAnsi="Arial"/>
          <w:bCs/>
          <w:iCs/>
          <w:sz w:val="20"/>
          <w:szCs w:val="20"/>
        </w:rPr>
        <w:t xml:space="preserve">, do sistema viário, dos espaços livres e das áreas reservadas para equipamentos urbanos e comunitários, apresentando, para este fim, </w:t>
      </w:r>
      <w:r>
        <w:rPr>
          <w:rFonts w:ascii="Arial" w:cs="Arial" w:hAnsi="Arial"/>
          <w:b/>
          <w:bCs/>
          <w:iCs/>
          <w:sz w:val="20"/>
          <w:szCs w:val="20"/>
          <w:u w:val="single"/>
        </w:rPr>
        <w:t>requerimento e planta do imóvel, na escala de 1:10.000, contendo:</w:t>
      </w:r>
    </w:p>
    <w:p>
      <w:pPr>
        <w:pStyle w:val="style0"/>
        <w:spacing w:line="276" w:lineRule="auto"/>
        <w:ind w:firstLine="1417" w:left="1418" w:right="0"/>
        <w:jc w:val="both"/>
      </w:pPr>
      <w:r>
        <w:rPr>
          <w:rFonts w:ascii="Arial" w:cs="Arial" w:hAnsi="Arial"/>
          <w:bCs/>
          <w:iCs/>
          <w:sz w:val="20"/>
          <w:szCs w:val="20"/>
        </w:rPr>
        <w:t>...</w:t>
      </w:r>
    </w:p>
    <w:p>
      <w:pPr>
        <w:pStyle w:val="style0"/>
        <w:spacing w:line="276" w:lineRule="auto"/>
        <w:ind w:firstLine="1417" w:left="1418" w:right="0"/>
        <w:jc w:val="both"/>
      </w:pPr>
      <w:r>
        <w:rPr>
          <w:rFonts w:ascii="Arial" w:cs="Arial" w:hAnsi="Arial"/>
          <w:b/>
          <w:bCs/>
          <w:iCs/>
          <w:sz w:val="18"/>
          <w:szCs w:val="20"/>
          <w:u w:val="single"/>
        </w:rPr>
        <w:t>V – o tipo de uso predominante a que o loteamento se destina;</w:t>
      </w:r>
    </w:p>
    <w:p>
      <w:pPr>
        <w:pStyle w:val="style0"/>
        <w:spacing w:line="276" w:lineRule="auto"/>
        <w:jc w:val="both"/>
      </w:pPr>
      <w:r>
        <w:rPr>
          <w:rFonts w:ascii="Arial" w:cs="Arial" w:hAnsi="Arial"/>
          <w:bCs/>
          <w:iCs/>
        </w:rPr>
      </w:r>
    </w:p>
    <w:p>
      <w:pPr>
        <w:pStyle w:val="style0"/>
        <w:spacing w:line="276" w:lineRule="auto"/>
        <w:jc w:val="both"/>
      </w:pPr>
      <w:r>
        <w:rPr>
          <w:rFonts w:ascii="Arial" w:cs="Arial" w:hAnsi="Arial"/>
          <w:bCs/>
          <w:iCs/>
        </w:rPr>
        <w:tab/>
        <w:tab/>
        <w:t>Portanto, se o uso predominante do loteamento é de chácaras, com proibição de construção de mais de um imóvel por lote, questiona-se porque o DLO licenciou a construção de 14 (quatorze) apartamentos em um único lote.</w:t>
      </w:r>
    </w:p>
    <w:p>
      <w:pPr>
        <w:pStyle w:val="style0"/>
        <w:spacing w:line="276" w:lineRule="auto"/>
        <w:jc w:val="both"/>
      </w:pPr>
      <w:r>
        <w:rPr>
          <w:rFonts w:ascii="Arial" w:cs="Arial" w:hAnsi="Arial"/>
          <w:bCs/>
          <w:iCs/>
        </w:rPr>
      </w:r>
    </w:p>
    <w:p>
      <w:pPr>
        <w:pStyle w:val="style0"/>
        <w:spacing w:line="276" w:lineRule="auto"/>
        <w:jc w:val="both"/>
      </w:pPr>
      <w:r>
        <w:rPr>
          <w:rFonts w:ascii="Arial" w:cs="Arial" w:hAnsi="Arial"/>
          <w:bCs/>
          <w:iCs/>
        </w:rPr>
        <w:tab/>
        <w:tab/>
        <w:t>Assim, há de se considerar que a conclusão da referida obra sem a devida análise jurídica do caso poderá ocasionar inúmeros prejuízos à coletividade daquela região. Os proprietários e moradores do bairro optaram por residirem em um local constituído por residências unifamiliares. Este fato os levaram a adquirir os imóveis naquela localidade. Permitir a conclusão da obra, sem averiguar tais fatos, lesionará, a princípio, o direito líquido e certo desses moradores / consumidores.</w:t>
      </w:r>
    </w:p>
    <w:p>
      <w:pPr>
        <w:pStyle w:val="style0"/>
        <w:spacing w:line="276" w:lineRule="auto"/>
        <w:jc w:val="both"/>
      </w:pPr>
      <w:r>
        <w:rPr>
          <w:rFonts w:ascii="Arial" w:cs="Arial" w:hAnsi="Arial"/>
          <w:bCs/>
          <w:iCs/>
        </w:rPr>
      </w:r>
    </w:p>
    <w:p>
      <w:pPr>
        <w:pStyle w:val="style0"/>
        <w:spacing w:line="276" w:lineRule="auto"/>
        <w:jc w:val="both"/>
      </w:pPr>
      <w:r>
        <w:rPr>
          <w:rFonts w:ascii="Arial" w:cs="Arial" w:hAnsi="Arial"/>
          <w:bCs/>
          <w:iCs/>
        </w:rPr>
        <w:tab/>
        <w:tab/>
        <w:t xml:space="preserve">Pelo motivo acima elencado, requer-se do Coordenador Jurídico do DLO, de modo complementar, anteriormente à prestação das informações solicitadas, a suspenção provisória da licença que autoriza a mencionada construção, pelo menos até a análise jurídica aprofundada do caso.  </w:t>
      </w:r>
    </w:p>
    <w:p>
      <w:pPr>
        <w:pStyle w:val="style0"/>
        <w:spacing w:line="276" w:lineRule="auto"/>
        <w:jc w:val="both"/>
      </w:pPr>
      <w:r>
        <w:rPr>
          <w:rFonts w:ascii="Arial" w:cs="Arial" w:hAnsi="Arial"/>
          <w:bCs/>
          <w:iCs/>
        </w:rPr>
      </w:r>
    </w:p>
    <w:p>
      <w:pPr>
        <w:pStyle w:val="style0"/>
        <w:spacing w:line="276" w:lineRule="auto"/>
        <w:jc w:val="both"/>
      </w:pPr>
      <w:r>
        <w:rPr>
          <w:rFonts w:ascii="Arial" w:cs="Arial" w:hAnsi="Arial"/>
          <w:bCs/>
          <w:iCs/>
        </w:rPr>
        <w:tab/>
        <w:tab/>
        <w:t xml:space="preserve">Consequentemente, requer-se que os fatos aqui apresentados sejam encaminhados a outros setores jurídicos da Administração Municipal para o estudo da legalidade do ato nos termos acima propostos e, caso averiguada a ilegalidade, requer-se a cassação definitiva do Alvará de construção, a fim de se preservar as características urbanísticas iniciais do Bairro Esplanada do Moinho. </w:t>
      </w:r>
    </w:p>
    <w:p>
      <w:pPr>
        <w:pStyle w:val="style0"/>
        <w:spacing w:line="276" w:lineRule="auto"/>
        <w:jc w:val="both"/>
      </w:pPr>
      <w:bookmarkStart w:id="1" w:name="_GoBack"/>
      <w:bookmarkStart w:id="2" w:name="_GoBack"/>
      <w:bookmarkEnd w:id="2"/>
      <w:r>
        <w:rPr>
          <w:rFonts w:ascii="Arial" w:cs="Arial" w:hAnsi="Arial"/>
          <w:bCs/>
          <w:iCs/>
        </w:rPr>
      </w:r>
    </w:p>
    <w:p>
      <w:pPr>
        <w:pStyle w:val="style0"/>
        <w:spacing w:line="276" w:lineRule="auto"/>
        <w:jc w:val="both"/>
      </w:pPr>
      <w:r>
        <w:rPr>
          <w:rFonts w:ascii="Arial" w:cs="Arial" w:hAnsi="Arial"/>
          <w:bCs/>
          <w:iCs/>
        </w:rPr>
        <w:tab/>
        <w:tab/>
        <w:t xml:space="preserve">Desta feita, pautado na função fiscalizadora desta casa, no interesse público da causa e no Plano Diretor Municipal, que na revisão dada pela Lei Complementar n. 109/2006 traz em seu art. 61, VII que o ordenamento territorial deve considerar a distribuição espacial dos usos e atividades urbanas </w:t>
      </w:r>
      <w:r>
        <w:rPr>
          <w:rFonts w:ascii="Arial" w:cs="Arial" w:hAnsi="Arial"/>
          <w:bCs/>
          <w:iCs/>
          <w:u w:val="single"/>
        </w:rPr>
        <w:t>com vistas a regular as atividades incômodas e empreendimentos de impacto social, ambiental, econômico e urbanístico</w:t>
      </w:r>
      <w:r>
        <w:rPr>
          <w:rFonts w:ascii="Arial" w:cs="Arial" w:hAnsi="Arial"/>
        </w:rPr>
        <w:t xml:space="preserve">, rogo a Vossas Excelências pelo deferimento da presente proposição. </w:t>
      </w:r>
    </w:p>
    <w:p>
      <w:pPr>
        <w:pStyle w:val="style0"/>
        <w:spacing w:line="276" w:lineRule="auto"/>
        <w:jc w:val="center"/>
      </w:pPr>
      <w:r>
        <w:rPr>
          <w:rFonts w:ascii="Tahoma" w:cs="Tahoma" w:hAnsi="Tahoma"/>
          <w:b/>
          <w:bCs/>
        </w:rPr>
      </w:r>
    </w:p>
    <w:p>
      <w:pPr>
        <w:pStyle w:val="style0"/>
        <w:spacing w:line="276" w:lineRule="auto"/>
        <w:ind w:hanging="0" w:left="1418" w:right="0"/>
        <w:jc w:val="both"/>
      </w:pPr>
      <w:r>
        <w:rPr>
          <w:rFonts w:ascii="Arial" w:cs="Arial" w:hAnsi="Arial"/>
          <w:bCs/>
        </w:rPr>
        <w:t>Nestes Termos,</w:t>
      </w:r>
    </w:p>
    <w:p>
      <w:pPr>
        <w:pStyle w:val="style0"/>
        <w:spacing w:line="276" w:lineRule="auto"/>
        <w:ind w:hanging="0" w:left="1418" w:right="0"/>
        <w:jc w:val="both"/>
      </w:pPr>
      <w:r>
        <w:rPr>
          <w:rFonts w:ascii="Arial" w:cs="Arial" w:hAnsi="Arial"/>
          <w:bCs/>
        </w:rPr>
        <w:t>Pede Deferimento,</w:t>
      </w:r>
    </w:p>
    <w:p>
      <w:pPr>
        <w:pStyle w:val="style0"/>
        <w:jc w:val="both"/>
      </w:pPr>
      <w:r>
        <w:rPr>
          <w:rFonts w:ascii="Arial" w:cs="Arial" w:hAnsi="Arial"/>
          <w:bCs/>
        </w:rPr>
      </w:r>
    </w:p>
    <w:p>
      <w:pPr>
        <w:pStyle w:val="style0"/>
        <w:jc w:val="both"/>
      </w:pPr>
      <w:r>
        <w:rPr>
          <w:rFonts w:ascii="Arial" w:cs="Arial" w:hAnsi="Arial"/>
          <w:bCs/>
        </w:rPr>
      </w:r>
    </w:p>
    <w:p>
      <w:pPr>
        <w:pStyle w:val="style0"/>
        <w:jc w:val="center"/>
      </w:pPr>
      <w:r>
        <w:rPr>
          <w:rFonts w:ascii="Arial" w:cs="Arial" w:hAnsi="Arial"/>
        </w:rPr>
        <w:t>Sete Lagoas, 03 de fevereiro de 2016.</w:t>
      </w:r>
    </w:p>
    <w:p>
      <w:pPr>
        <w:pStyle w:val="style0"/>
        <w:jc w:val="center"/>
      </w:pPr>
      <w:r>
        <w:rPr>
          <w:rFonts w:ascii="Arial" w:cs="Arial" w:hAnsi="Arial"/>
        </w:rPr>
      </w:r>
    </w:p>
    <w:p>
      <w:pPr>
        <w:pStyle w:val="style0"/>
      </w:pPr>
      <w:r>
        <w:rPr>
          <w:rFonts w:ascii="Tahoma" w:cs="Tahoma" w:hAnsi="Tahoma"/>
          <w:i/>
          <w:iCs/>
        </w:rPr>
      </w:r>
    </w:p>
    <w:p>
      <w:pPr>
        <w:pStyle w:val="style0"/>
        <w:tabs>
          <w:tab w:leader="none" w:pos="6428" w:val="left"/>
        </w:tabs>
      </w:pPr>
      <w:r>
        <w:rPr>
          <w:rFonts w:ascii="Tahoma" w:cs="Tahoma" w:hAnsi="Tahoma"/>
          <w:i/>
          <w:iCs/>
        </w:rPr>
        <w:tab/>
      </w:r>
    </w:p>
    <w:p>
      <w:pPr>
        <w:pStyle w:val="style0"/>
        <w:spacing w:line="276" w:lineRule="auto"/>
        <w:jc w:val="right"/>
      </w:pPr>
      <w:r>
        <w:rPr>
          <w:rFonts w:ascii="Arial" w:cs="Arial" w:hAnsi="Arial"/>
          <w:b/>
          <w:bCs/>
        </w:rPr>
        <w:t>Joaquim Gonzaga Barbosa</w:t>
      </w:r>
    </w:p>
    <w:p>
      <w:pPr>
        <w:pStyle w:val="style0"/>
        <w:spacing w:line="276" w:lineRule="auto"/>
        <w:jc w:val="right"/>
      </w:pPr>
      <w:r>
        <w:rPr>
          <w:rFonts w:ascii="Arial" w:cs="Arial" w:hAnsi="Arial"/>
          <w:b/>
          <w:bCs/>
          <w:sz w:val="22"/>
          <w:szCs w:val="22"/>
        </w:rPr>
        <w:t>VEREADOR GONZAGA - PSL</w:t>
      </w:r>
    </w:p>
    <w:sectPr>
      <w:headerReference r:id="rId2" w:type="default"/>
      <v:group alt="Grupo 265" coordorigin="570,0" coordsize="10764,546" id="shape_0" style="position:absolute;margin-left:28.5pt;margin-top:0pt;width:538.2pt;height:27.3pt">
        <v:rect fillcolor="#953735" id="shape_0" style="position:absolute;left:619;top:53;width:8671;height:431">
          <v:wrap v:type="square"/>
          <v:fill color2="#6ac8ca" detectmouseclick="t" type="solid"/>
          <v:stroke color="#3465af" endcap="flat" joinstyle="round"/>
        </v:rect>
        <v:rect fillcolor="#953735" id="shape_0" style="position:absolute;left:9331;top:53;width:1949;height:431">
          <v:wrap v:type="square"/>
          <v:fill color2="#6ac8ca" detectmouseclick="t" type="solid"/>
          <v:stroke color="#3465af" endcap="flat" joinstyle="round"/>
        </v:rect>
        <v:rect id="shape_0" style="position:absolute;left:570;top:0;width:10764;height:546">
          <v:wrap v:type="none"/>
          <v:fill detectmouseclick="t"/>
          <v:stroke color="black" endcap="flat" joinstyle="round"/>
        </v:rect>
      </v:group>
      <w:footerReference r:id="rId3" w:type="default"/>
      <w:type w:val="nextPage"/>
      <w:pgSz w:h="16838" w:w="11906"/>
      <w:pgMar w:bottom="1417" w:footer="708" w:gutter="0" w:header="708" w:left="1701" w:right="1701" w:top="1417"/>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Liberation Serif">
    <w:altName w:val="Times New Roman"/>
    <w:charset w:val="00"/>
    <w:family w:val="roman"/>
    <w:pitch w:val="variable"/>
  </w:font>
  <w:font w:name="Tahoma">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center"/>
    </w:pPr>
    <w:r>
      <w:rPr/>
      <w:pic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center"/>
    </w:pPr>
    <w:r>
      <w:rPr/>
      <w:drawing>
        <wp:inline distB="0" distL="0" distR="0" distT="0">
          <wp:extent cx="5245100" cy="1069975"/>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1"/>
                  <a:srcRect/>
                  <a:stretch>
                    <a:fillRect/>
                  </a:stretch>
                </pic:blipFill>
                <pic:spPr bwMode="auto">
                  <a:xfrm>
                    <a:off x="0" y="0"/>
                    <a:ext cx="5245100" cy="1069975"/>
                  </a:xfrm>
                  <a:prstGeom prst="rect">
                    <a:avLst/>
                  </a:prstGeom>
                  <a:noFill/>
                  <a:ln w="9525">
                    <a:noFill/>
                    <a:miter lim="800000"/>
                    <a:headEnd/>
                    <a:tailEnd/>
                  </a:ln>
                </pic:spPr>
              </pic:pic>
            </a:graphicData>
          </a:graphic>
        </wp:inline>
      </w:drawing>
    </w:r>
  </w:p>
</w:hdr>
</file>

<file path=word/settings.xml><?xml version="1.0" encoding="utf-8"?>
<w:settings xmlns:w="http://schemas.openxmlformats.org/wordprocessingml/2006/main">
  <w:zoom w:percent="130"/>
  <w:defaultTabStop w:val="708"/>
</w:settings>
</file>

<file path=word/styles.xml><?xml version="1.0" encoding="utf-8"?>
<w:styles xmlns:w="http://schemas.openxmlformats.org/wordprocessingml/2006/main">
  <w:style w:styleId="style0" w:type="paragraph">
    <w:name w:val="Normal"/>
    <w:next w:val="style0"/>
    <w:pPr>
      <w:widowControl w:val="false"/>
      <w:suppressAutoHyphens w:val="true"/>
      <w:spacing w:after="0" w:before="0" w:line="100" w:lineRule="atLeast"/>
      <w:contextualSpacing w:val="false"/>
    </w:pPr>
    <w:rPr>
      <w:rFonts w:ascii="Liberation Serif" w:cs="DejaVu Sans" w:eastAsia="DejaVu Sans" w:hAnsi="Liberation Serif"/>
      <w:color w:val="auto"/>
      <w:sz w:val="24"/>
      <w:szCs w:val="24"/>
      <w:lang w:bidi="hi-IN" w:eastAsia="hi-IN" w:val="pt-BR"/>
    </w:rPr>
  </w:style>
  <w:style w:styleId="style15" w:type="character">
    <w:name w:val="Default Paragraph Font"/>
    <w:next w:val="style15"/>
    <w:rPr/>
  </w:style>
  <w:style w:styleId="style16" w:type="character">
    <w:name w:val="Cabeçalho Char"/>
    <w:basedOn w:val="style15"/>
    <w:next w:val="style16"/>
    <w:rPr>
      <w:rFonts w:ascii="Liberation Serif" w:cs="Mangal" w:eastAsia="DejaVu Sans" w:hAnsi="Liberation Serif"/>
      <w:sz w:val="24"/>
      <w:szCs w:val="21"/>
      <w:lang w:bidi="hi-IN" w:eastAsia="hi-IN"/>
    </w:rPr>
  </w:style>
  <w:style w:styleId="style17" w:type="character">
    <w:name w:val="Rodapé Char"/>
    <w:basedOn w:val="style15"/>
    <w:next w:val="style17"/>
    <w:rPr>
      <w:rFonts w:ascii="Liberation Serif" w:cs="Mangal" w:eastAsia="DejaVu Sans" w:hAnsi="Liberation Serif"/>
      <w:sz w:val="24"/>
      <w:szCs w:val="21"/>
      <w:lang w:bidi="hi-IN" w:eastAsia="hi-IN"/>
    </w:rPr>
  </w:style>
  <w:style w:styleId="style18" w:type="character">
    <w:name w:val="Texto de balão Char"/>
    <w:basedOn w:val="style15"/>
    <w:next w:val="style18"/>
    <w:rPr>
      <w:rFonts w:ascii="Tahoma" w:cs="Mangal" w:eastAsia="DejaVu Sans" w:hAnsi="Tahoma"/>
      <w:sz w:val="16"/>
      <w:szCs w:val="14"/>
      <w:lang w:bidi="hi-IN" w:eastAsia="hi-IN"/>
    </w:rPr>
  </w:style>
  <w:style w:styleId="style19" w:type="character">
    <w:name w:val="Ênfase forte"/>
    <w:next w:val="style19"/>
    <w:rPr>
      <w:b/>
      <w:bCs/>
    </w:rPr>
  </w:style>
  <w:style w:styleId="style20" w:type="paragraph">
    <w:name w:val="Título"/>
    <w:basedOn w:val="style0"/>
    <w:next w:val="style21"/>
    <w:pPr>
      <w:keepNext/>
      <w:spacing w:after="120" w:before="240"/>
      <w:contextualSpacing w:val="false"/>
    </w:pPr>
    <w:rPr>
      <w:rFonts w:ascii="Arial" w:cs="Mangal" w:eastAsia="Lucida Sans Unicode" w:hAnsi="Arial"/>
      <w:sz w:val="28"/>
      <w:szCs w:val="28"/>
    </w:rPr>
  </w:style>
  <w:style w:styleId="style21" w:type="paragraph">
    <w:name w:val="Corpo do texto"/>
    <w:basedOn w:val="style0"/>
    <w:next w:val="style21"/>
    <w:pPr>
      <w:spacing w:after="120" w:before="0"/>
      <w:contextualSpacing w:val="false"/>
    </w:pPr>
    <w:rPr/>
  </w:style>
  <w:style w:styleId="style22" w:type="paragraph">
    <w:name w:val="Lista"/>
    <w:basedOn w:val="style21"/>
    <w:next w:val="style22"/>
    <w:pPr/>
    <w:rPr>
      <w:rFonts w:cs="Mangal"/>
    </w:rPr>
  </w:style>
  <w:style w:styleId="style23" w:type="paragraph">
    <w:name w:val="Legenda"/>
    <w:basedOn w:val="style0"/>
    <w:next w:val="style23"/>
    <w:pPr>
      <w:suppressLineNumbers/>
      <w:spacing w:after="120" w:before="120"/>
      <w:contextualSpacing w:val="false"/>
    </w:pPr>
    <w:rPr>
      <w:rFonts w:cs="Mangal"/>
      <w:i/>
      <w:iCs/>
      <w:sz w:val="24"/>
      <w:szCs w:val="24"/>
    </w:rPr>
  </w:style>
  <w:style w:styleId="style24" w:type="paragraph">
    <w:name w:val="Índice"/>
    <w:basedOn w:val="style0"/>
    <w:next w:val="style24"/>
    <w:pPr>
      <w:suppressLineNumbers/>
    </w:pPr>
    <w:rPr>
      <w:rFonts w:cs="Mangal"/>
    </w:rPr>
  </w:style>
  <w:style w:styleId="style25" w:type="paragraph">
    <w:name w:val="Cabeçalho"/>
    <w:basedOn w:val="style0"/>
    <w:next w:val="style25"/>
    <w:pPr>
      <w:tabs>
        <w:tab w:leader="none" w:pos="4252" w:val="center"/>
        <w:tab w:leader="none" w:pos="8504" w:val="right"/>
      </w:tabs>
    </w:pPr>
    <w:rPr>
      <w:rFonts w:cs="Mangal"/>
      <w:sz w:val="21"/>
      <w:szCs w:val="21"/>
    </w:rPr>
  </w:style>
  <w:style w:styleId="style26" w:type="paragraph">
    <w:name w:val="Rodapé"/>
    <w:basedOn w:val="style0"/>
    <w:next w:val="style26"/>
    <w:pPr>
      <w:tabs>
        <w:tab w:leader="none" w:pos="4252" w:val="center"/>
        <w:tab w:leader="none" w:pos="8504" w:val="right"/>
      </w:tabs>
    </w:pPr>
    <w:rPr>
      <w:rFonts w:cs="Mangal"/>
      <w:sz w:val="21"/>
      <w:szCs w:val="21"/>
    </w:rPr>
  </w:style>
  <w:style w:styleId="style27" w:type="paragraph">
    <w:name w:val="Balloon Text"/>
    <w:basedOn w:val="style0"/>
    <w:next w:val="style27"/>
    <w:pPr/>
    <w:rPr>
      <w:rFonts w:ascii="Tahoma" w:cs="Mangal" w:hAnsi="Tahoma"/>
      <w:sz w:val="16"/>
      <w:szCs w:val="14"/>
    </w:rPr>
  </w:style>
  <w:style w:styleId="style28" w:type="paragraph">
    <w:name w:val="Normal (Web)"/>
    <w:basedOn w:val="style0"/>
    <w:next w:val="style28"/>
    <w:pPr>
      <w:widowControl/>
      <w:suppressAutoHyphens w:val="false"/>
      <w:spacing w:after="28" w:before="28"/>
      <w:contextualSpacing w:val="false"/>
    </w:pPr>
    <w:rPr>
      <w:rFonts w:ascii="Times New Roman" w:cs="Times New Roman" w:eastAsia="Times New Roman" w:hAnsi="Times New Roman"/>
      <w:lang w:bidi="ar-SA" w:eastAsia="pt-B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docProps/app.xml><?xml version="1.0" encoding="utf-8"?>
<Properties xmlns="http://schemas.openxmlformats.org/officeDocument/2006/extended-properties" xmlns:vt="http://schemas.openxmlformats.org/officeDocument/2006/docPropsVTypes">
  <Template>Normal</Template>
  <TotalTime>217</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2016-02-03T14:23:00.00Z</dcterms:created>
  <dc:creator>Leo</dc:creator>
  <cp:lastModifiedBy>Leo</cp:lastModifiedBy>
  <cp:lastPrinted>2016-02-05T13:34:00.00Z</cp:lastPrinted>
  <dcterms:modified xsi:type="dcterms:W3CDTF">2016-02-05T14:19:00.00Z</dcterms:modified>
  <cp:revision>11</cp:revision>
</cp:coreProperties>
</file>