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4"/>
        <w:ind w:hanging="0" w:left="567" w:right="-1"/>
        <w:jc w:val="center"/>
      </w:pPr>
      <w:r>
        <w:rPr>
          <w:rFonts w:cs="Liberation Serif" w:eastAsia="Liberation Serif"/>
          <w:b/>
          <w:sz w:val="28"/>
          <w:szCs w:val="28"/>
          <w:lang w:bidi="ar-SA" w:eastAsia="ar-SA"/>
        </w:rPr>
        <w:t xml:space="preserve">            </w:t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358775</wp:posOffset>
            </wp:positionH>
            <wp:positionV relativeFrom="line">
              <wp:posOffset>84455</wp:posOffset>
            </wp:positionV>
            <wp:extent cx="694690" cy="929005"/>
            <wp:effectExtent b="0" l="0" r="0" t="0"/>
            <wp:wrapNone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2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4"/>
        <w:ind w:hanging="0" w:left="567" w:right="-1"/>
        <w:jc w:val="center"/>
      </w:pPr>
      <w:r>
        <w:rPr>
          <w:rFonts w:cs="Liberation Serif" w:eastAsia="Liberation Serif"/>
          <w:b/>
          <w:sz w:val="36"/>
          <w:szCs w:val="36"/>
          <w:lang w:bidi="ar-SA" w:eastAsia="ar-SA"/>
        </w:rPr>
        <w:t xml:space="preserve">             </w:t>
      </w:r>
      <w:r>
        <w:rPr>
          <w:rFonts w:cs="Times New Roman" w:eastAsia="Liberation Serif"/>
          <w:b/>
          <w:sz w:val="36"/>
          <w:szCs w:val="36"/>
          <w:lang w:bidi="ar-SA" w:eastAsia="ar-SA"/>
        </w:rPr>
        <w:t xml:space="preserve">  </w:t>
      </w:r>
      <w:r>
        <w:rPr>
          <w:rFonts w:cs="Times New Roman" w:eastAsia="Times New Roman"/>
          <w:b/>
          <w:sz w:val="36"/>
          <w:szCs w:val="36"/>
          <w:lang w:bidi="ar-SA" w:eastAsia="ar-SA"/>
        </w:rPr>
        <w:t>Câmara Municipal de Sete Lagoas</w:t>
      </w:r>
    </w:p>
    <w:p>
      <w:pPr>
        <w:pStyle w:val="style24"/>
        <w:ind w:hanging="0" w:left="567" w:right="-1"/>
        <w:jc w:val="center"/>
      </w:pPr>
      <w:r>
        <w:rPr>
          <w:rFonts w:cs="Times New Roman" w:eastAsia="Century Schoolbook L"/>
          <w:sz w:val="28"/>
          <w:szCs w:val="28"/>
          <w:lang w:bidi="ar-SA" w:eastAsia="ar-SA"/>
        </w:rPr>
        <w:t xml:space="preserve">                  </w:t>
      </w:r>
      <w:r>
        <w:rPr>
          <w:rFonts w:cs="Times New Roman" w:eastAsia="Times New Roman"/>
          <w:b/>
          <w:sz w:val="28"/>
          <w:szCs w:val="28"/>
          <w:u w:val="single"/>
          <w:lang w:bidi="ar-SA" w:eastAsia="ar-SA"/>
        </w:rPr>
        <w:t>Gabinete do Vereador João Evangelista</w:t>
      </w:r>
    </w:p>
    <w:p>
      <w:pPr>
        <w:pStyle w:val="style0"/>
        <w:ind w:hanging="0" w:left="567" w:right="-1"/>
        <w:jc w:val="center"/>
      </w:pPr>
      <w:r>
        <w:rPr>
          <w:rFonts w:cs="Times New Roman" w:eastAsia="Liberation Serif"/>
          <w:b/>
          <w:bCs/>
        </w:rPr>
      </w:r>
    </w:p>
    <w:p>
      <w:pPr>
        <w:pStyle w:val="style0"/>
        <w:tabs>
          <w:tab w:leader="none" w:pos="2787" w:val="left"/>
        </w:tabs>
        <w:ind w:hanging="0" w:left="567" w:right="-1"/>
        <w:jc w:val="both"/>
      </w:pPr>
      <w:r>
        <w:rPr>
          <w:rFonts w:cs="Times New Roman" w:eastAsia="Liberation Serif"/>
          <w:b/>
          <w:bCs/>
        </w:rPr>
        <w:tab/>
        <w:t xml:space="preserve">    </w:t>
      </w:r>
    </w:p>
    <w:p>
      <w:pPr>
        <w:pStyle w:val="style0"/>
        <w:tabs>
          <w:tab w:leader="none" w:pos="2787" w:val="left"/>
        </w:tabs>
        <w:ind w:hanging="0" w:left="567" w:right="-1"/>
        <w:jc w:val="both"/>
      </w:pPr>
      <w:r>
        <w:rPr>
          <w:rFonts w:cs="Times New Roman" w:eastAsia="Liberation Serif"/>
          <w:b/>
          <w:bCs/>
        </w:rPr>
      </w:r>
    </w:p>
    <w:p>
      <w:pPr>
        <w:pStyle w:val="style0"/>
        <w:tabs>
          <w:tab w:leader="none" w:pos="2787" w:val="left"/>
        </w:tabs>
        <w:ind w:hanging="0" w:left="567" w:right="-1"/>
        <w:jc w:val="center"/>
      </w:pPr>
      <w:r>
        <w:rPr>
          <w:rFonts w:cs="Times New Roman" w:eastAsia="Liberation Serif"/>
          <w:b/>
          <w:bCs/>
        </w:rPr>
        <w:t>ANTE</w:t>
      </w:r>
      <w:r>
        <w:rPr>
          <w:rFonts w:cs="Times New Roman"/>
          <w:b/>
          <w:bCs/>
        </w:rPr>
        <w:t>PROJETO DE LEI Nº________/2015.</w:t>
      </w:r>
    </w:p>
    <w:p>
      <w:pPr>
        <w:pStyle w:val="style0"/>
        <w:tabs>
          <w:tab w:leader="none" w:pos="2787" w:val="left"/>
        </w:tabs>
        <w:ind w:hanging="0" w:left="567" w:right="-1"/>
        <w:jc w:val="center"/>
      </w:pPr>
      <w:r>
        <w:rPr>
          <w:rFonts w:cs="Times New Roman"/>
          <w:b/>
          <w:bCs/>
        </w:rPr>
      </w:r>
    </w:p>
    <w:p>
      <w:pPr>
        <w:pStyle w:val="style0"/>
        <w:tabs>
          <w:tab w:leader="none" w:pos="2787" w:val="left"/>
        </w:tabs>
        <w:ind w:hanging="0" w:left="567" w:right="-1"/>
        <w:jc w:val="both"/>
      </w:pPr>
      <w:r>
        <w:rPr/>
      </w:r>
    </w:p>
    <w:p>
      <w:pPr>
        <w:pStyle w:val="style0"/>
        <w:spacing w:line="360" w:lineRule="auto"/>
        <w:ind w:hanging="0" w:left="1560" w:right="-1"/>
        <w:jc w:val="both"/>
      </w:pPr>
      <w:r>
        <w:rPr>
          <w:b/>
        </w:rPr>
        <w:t xml:space="preserve">CRIA O CONSELHO MUNICIPAL DE RECURSOS HÍDRICOS DE     SETE LAGOAS – CMRH/SL, ACRESCENTA DISPOSITIVO À LEI 7417 DE 10/05/2007, </w:t>
      </w:r>
      <w:r>
        <w:rPr>
          <w:rFonts w:cs="Arial"/>
          <w:b/>
        </w:rPr>
        <w:t xml:space="preserve">QUE DISPÕE SOBRE A REORGANIZAÇÃO DO CONSELHO MUNICIPAL DE DEFESA DO MEIO AMBIENTE – CODEMA, </w:t>
      </w:r>
      <w:r>
        <w:rPr>
          <w:b/>
        </w:rPr>
        <w:t>E DÁ OUTRAS PROVIDÊNCIAS.</w:t>
      </w:r>
    </w:p>
    <w:p>
      <w:pPr>
        <w:pStyle w:val="style0"/>
        <w:spacing w:line="360" w:lineRule="auto"/>
        <w:ind w:hanging="0" w:left="1560" w:right="-1"/>
        <w:jc w:val="both"/>
      </w:pPr>
      <w:r>
        <w:rPr>
          <w:b/>
        </w:rPr>
      </w:r>
    </w:p>
    <w:p>
      <w:pPr>
        <w:pStyle w:val="style25"/>
        <w:spacing w:after="0" w:before="0"/>
        <w:ind w:firstLine="1134" w:left="567" w:right="-1"/>
        <w:contextualSpacing w:val="false"/>
        <w:jc w:val="both"/>
      </w:pPr>
      <w:r>
        <w:rPr>
          <w:rFonts w:ascii="Times New Roman" w:cs="Times New Roman" w:hAnsi="Times New Roman"/>
        </w:rPr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 xml:space="preserve">Art. 1º - </w:t>
      </w:r>
      <w:r>
        <w:rPr>
          <w:rFonts w:cs="Arial"/>
        </w:rPr>
        <w:t xml:space="preserve">Fica criado o Conselho Municipal de Recursos Hídricos de Sete Lagoas – CMRH/SL, órgão de caráter consultivo, normativo, deliberativo e de assessoramento da Política Municipal de Recursos Hídricos do Município, componente do Sistema Municipal de Meio Ambiente previsto na legislação vigente, e vinculado à Secretaria Municipal de Meio Ambiente e Sustentabilidade. 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</w:rPr>
        <w:t>Parágrafo único -</w:t>
      </w:r>
      <w:r>
        <w:rPr>
          <w:rFonts w:cs="Arial"/>
        </w:rPr>
        <w:t xml:space="preserve"> O CMRH/SL tem formação paritária entre representantes do Poder Público e da sociedade civil e funcionamento colegiado, como disposto em seu Regimento Interno.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b/>
          <w:bCs/>
        </w:rPr>
        <w:t>Art. 2º</w:t>
      </w:r>
      <w:r>
        <w:rPr/>
        <w:t xml:space="preserve"> - </w:t>
      </w:r>
      <w:r>
        <w:rPr>
          <w:rFonts w:cs="Arial"/>
        </w:rPr>
        <w:t>O CMRH/SL tem por fundamento a educação ambiental e orienta-se pelos seguintes princípios: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 – compreensão de que a água é recurso indispensável à garantia de vida das espécies;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II – utilização racional dos recursos hídricos, tanto superficiais quanto subterrâneos, buscando-se, em caso de escassez, assegurar o uso prioritário para o consumo humano e dessedentação dos animais;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III - combate ao desperdício e ao uso abusivo de água;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IV – estímulo às práticas de produção de água, de utilização de água das chuvas e de reuso da água;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V – adoção dos fundamentos, objetivos e diretrizes gerais da Política Nacional e da Política Estadual dos Recursos Hídricos, nos termos da legislação federal e estadual vigentes, no que couber.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Art. 3º</w:t>
      </w:r>
      <w:r>
        <w:rPr>
          <w:rFonts w:cs="Arial"/>
        </w:rPr>
        <w:t xml:space="preserve"> - O CMRH/SL tem por finalidade promover a defesa e a proteção dos recursos hídricos, de modo a contribuir para que a água possa ser utilizada, em padrões de qualidade e quantidade satisfatórios, como meio de garantir a vida das espécies, na atualidade e no futuro.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 xml:space="preserve">Art. 4º - </w:t>
      </w:r>
      <w:r>
        <w:rPr>
          <w:rFonts w:cs="Arial"/>
        </w:rPr>
        <w:t>O CMRH/SL tem as seguintes competências: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 – formular as diretrizes, orientar a elaboração e participar da implantação da Política Municipal dos Recursos Hídricos;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II – deliberar sobre normas e padrões de proteção, conservação, controle, intervenção, recuperação e melhoria da qualidade dos mananciais e dos recursos hídricos;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III – emitir parecer, quando os recursos hídricos forem objeto de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a) ações e intervenções do governo municipal;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 xml:space="preserve">b) </w:t>
      </w:r>
      <w:r>
        <w:rPr/>
        <w:t>proposições de lei;</w:t>
      </w:r>
    </w:p>
    <w:p>
      <w:pPr>
        <w:pStyle w:val="style0"/>
        <w:spacing w:line="360" w:lineRule="auto"/>
        <w:ind w:hanging="0" w:left="567" w:right="-1"/>
        <w:jc w:val="both"/>
      </w:pPr>
      <w:r>
        <w:rPr/>
        <w:t>c) empreendimentos econômicos.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IV - discriminar as áreas de preservação de recursos hídricos, destinados ao consumo humano;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V- desenvolver estudos, projetos, debates, pesquisas e outras atividades educativas, referentes aos recursos hídricos;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VI- contribuir com os demais órgãos da administração municipal, no planejamento referente aos recursos hídricos;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VII- receber propostas e sugestões manifestadas pela sociedade e encaminhá-las como couber;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VIII – receber e apurar denúncias que digam respeito à utilização inadequada dos recursos hídricos, emitir parecer e encaminhá-las aos órgãos competentes;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IX- acompanhar a execução das ações dos poderes públicos das três esferas de governo, referentes aos recursos hídricos, no âmbito de suas competências;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 - pronunciar-se em todas as questões que dizem respeito aos recursos hídricos no Município;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XI - propor ao poder público municipal o desenvolvimento de programas permanentes de conservação e de proteção das águas superficiais e subterrâneas contra poluição e exploração inadequada;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XII – defender e orientar as práticas de uso racional, de produção e de reuso de água no Município;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XIII- registrar, acompanhar e fiscalizar as concessões de direitos de pesquisa e de exploração de recursos hídricos no Município;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XIV- registrar, acompanhar e fiscalizar a perfuração dos poços profundos no Município, tanto públicos quanto particulares;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XV- fiscalizar o lançamento de efluentes e de esgotos, tanto domésticos quanto industriais, nos cursos de água do Município, propondo ações públicas e privadas para o devido tratamento;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XVI- acompanhar e fiscalizar a captação, o tratamento e a distribuição de água no Município;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XVII- acompanhar e fiscalizar a coleta e a destinação do lixo urbano, objetivando evitar a contaminação dos mananciais hídricos e lençóis freáticos;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XVIII- desenvolver medidas de proteção das águas contra ações que possam comprometer seu uso atual e futuro;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XIX- manter intercâmbio com universidades, com entidades públicas e privadas de pesquisa e com os Municípios vizinhos, objetivando a defesa dos recursos hídricos, tendo por orientação o conceito de bacia hidrográfica;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XX- divulgar dados, condições e ações, referentes aos recursos hídricos;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XXI- identificar, apurar e comunicar aos órgãos competentes as agressões perpetradas em face dos recursos hídricos do Município, sugerindo soluções;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 xml:space="preserve">XXII – participar da implementação e acompanhar a execução do Plano Municipal de Saneamento Básico do Município; 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XXIII – articular os órgãos públicos e a sociedade civil, local e regionalmente, visando à consecução dos objetivos desta Lei;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XXIV - elaborar, aprovar e executar seu Regimento Interno.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>§1º -</w:t>
      </w:r>
      <w:r>
        <w:rPr>
          <w:rFonts w:cs="Arial"/>
        </w:rPr>
        <w:t xml:space="preserve"> O CMRH/SL, para cumprir suas competências e realizar os objetivos desta Lei, pode representar ao Ministério Público, a fim de garantir: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 - interrupção, suspensão ou embargo de obra e/ou atividade pública ou privada, considerada prejudicial aos recursos hídricos e ao interesse público local e regional;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II – correção de projetos, obras ou atividades, no que prejudicarem os recursos hídricos;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III– punição dos infratores, nos termos da legislação pertinente.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 xml:space="preserve">§ 2º </w:t>
      </w:r>
      <w:r>
        <w:rPr>
          <w:rFonts w:cs="Arial"/>
        </w:rPr>
        <w:t>– As matérias sobre as quais tenham que deliberar o CMRH e o Conselho Municipal de Defesa do Meio Ambiente – CODEMA, que suscitarem conflito entre os dois conselhos, devem ser analisadas e decididas em reunião conjunta dos plenários dos dois órgãos, especialmente convocada pelos seus presidentes para este fim.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 xml:space="preserve">Art. 5º - </w:t>
      </w:r>
      <w:r>
        <w:rPr>
          <w:rFonts w:cs="Arial"/>
        </w:rPr>
        <w:t>O CMRH/SL é composto por 24 (vinte e quatro) membros e respectivos suplentes, a saber: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 xml:space="preserve">I – 12 (doze) representantes do poder público, sendo 01 (um) de cada órgão a seguir: 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a) Secretaria Municipal de Meio Ambiente e Sustentabilidade;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b) Secretaria Municipal de Saúde;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c) Secretaria Municipal de Educação;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d) Secretaria Municipal de Desenvolvimento Econômico e Turismo;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e) Secretaria Municipal de Cultura e Juventude;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f) Secretaria Municipal de Obras Públicas, Infraestrutura e Políticas Urbanas;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g) Serviço Autônomo de Água e Esgoto – SAAE;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h) Comissão Permanente de Meio Ambiente da Câmara Municipal;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i) Empresa de Assistência Técnica e Extensão Rural – EMATER/MG;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j) Empresa Brasileira de Pesquisa Agropecuária – EMBRAPA;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k) Empresa de Pesquisa Agropecuária de Minas Gerais – EPAMIG;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l) PMMG – Polícia Florestal e do Meio Ambiente: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II – 12 (doze) representantes da sociedade civil, sendo 01 (um) de cada organização ou setor, a saber: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a) Subcomitê da Bacia Hidrográfica do Ribeirão Jequitibá;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b) entidades de ensino superior, sediadas no Município de Sete Lagoas, ofertantes de curso que interesse à área ambiental;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c) organizações sociais cuja atuação interesse à área ambiental;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d) Associação Sete-lagoana dos Engenheiros - ASE;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 xml:space="preserve">e) Comissão de Direito Ambiental da 46ª Subseção da Ordem dos Advogados do Brasil – OAB/MG; 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Times New Roman" w:eastAsia="Times New Roman"/>
          <w:lang w:eastAsia="pt-BR"/>
        </w:rPr>
        <w:t>f) Câmara de Dirigentes Lojistas de Sete Lagoas – CDL e Associação Comercial e Industrial de Sete Lagoas - ACISEL;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g) Associação Médica de Sete Lagoas;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h) associações de moradores;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i) organização de catadores de materiais recicláveis;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j) organizações de jovens e estudantes;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k) sindicatos de trabalhadores;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 xml:space="preserve">l) cientista, pesquisador, tecnólogo ou pessoa de notório saber, reconhecidamente dedicado(a) a atividades relacionadas aos recursos hídricos.  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>§ 1º -</w:t>
      </w:r>
      <w:r>
        <w:rPr>
          <w:rFonts w:cs="Arial"/>
        </w:rPr>
        <w:t xml:space="preserve"> Os representantes descritos neste artigo, tanto titulares quanto suplentes, devem ser indicados: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 - pela respectiva categoria profissional, econômica ou associativa, democraticamente, quando representantes da sociedade civil;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II - pelo titular do órgão correspondente, quando representantes do Poder Público.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>§ 2º -</w:t>
      </w:r>
      <w:r>
        <w:rPr>
          <w:rFonts w:cs="Arial"/>
        </w:rPr>
        <w:t xml:space="preserve"> É vedada a participação como membro do Conselho de profissional que exerça a função de consultor ou responsável técnico por projetos de engenharia ambiental, no âmbito do Município.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</w:rPr>
        <w:t>§ 3º</w:t>
      </w:r>
      <w:r>
        <w:rPr>
          <w:rFonts w:cs="Arial"/>
        </w:rPr>
        <w:t xml:space="preserve"> - Quando mais de uma instituição, de uma organização ou de uma pessoa pretenderem uma mesma vaga, elas deverão concorrer entre si, podendo alternar o preenchimento da vaga como titular ou como suplente, na forma disposta pelo Regimento Interno.</w:t>
      </w:r>
    </w:p>
    <w:p>
      <w:pPr>
        <w:pStyle w:val="style0"/>
        <w:widowControl/>
        <w:suppressAutoHyphens w:val="false"/>
        <w:spacing w:line="360" w:lineRule="auto"/>
        <w:ind w:hanging="0" w:left="567" w:right="-1"/>
        <w:textAlignment w:val="auto"/>
      </w:pPr>
      <w:r>
        <w:rPr>
          <w:rFonts w:cs="Arial"/>
          <w:b/>
        </w:rPr>
        <w:t>§ 4º -</w:t>
      </w:r>
      <w:r>
        <w:rPr>
          <w:rFonts w:cs="Arial"/>
        </w:rPr>
        <w:t xml:space="preserve"> Os membros do CMRH são empossados po</w:t>
      </w:r>
      <w:r>
        <w:rPr>
          <w:rFonts w:cs="Times New Roman" w:eastAsia="Times New Roman"/>
          <w:lang w:bidi="ar-SA" w:eastAsia="pt-BR"/>
        </w:rPr>
        <w:t>r ato do Chefe do Poder Executivo.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>Art. 6º -</w:t>
      </w:r>
      <w:r>
        <w:rPr>
          <w:rFonts w:cs="Arial"/>
        </w:rPr>
        <w:t xml:space="preserve"> O mandato dos conselheiros é de 2 (dois) anos, permitida uma recondução, com exceção daqueles representantes do Poder Executivo Municipal, que podem ser substituídos quando do desligamento da Administração Municipal.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color w:val="000000"/>
        </w:rPr>
        <w:t>§ 1º</w:t>
      </w:r>
      <w:r>
        <w:rPr>
          <w:rFonts w:cs="Arial"/>
          <w:color w:val="000000"/>
        </w:rPr>
        <w:t xml:space="preserve"> - A função de conselheiro é considerada de relevante valor socioambiental e exercida sem remuneração.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</w:rPr>
        <w:t>§ 2º</w:t>
      </w:r>
      <w:r>
        <w:rPr>
          <w:rFonts w:cs="Arial"/>
        </w:rPr>
        <w:t xml:space="preserve"> - Ocorrendo vaga no CMRH/SL, por renúncia, morte ou incompatibilidade de função de algum de seus membros, assumirá o respectivo suplente, que completará o mandato.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 xml:space="preserve">Art. 7º -  </w:t>
      </w:r>
      <w:r>
        <w:rPr>
          <w:rFonts w:cs="Arial"/>
        </w:rPr>
        <w:t>O Conselho reunir-se-á mensalmente e extraordinariamente quando convocado pelo Presidente ou maioria de seus membros (metade mais um), mediante manifestação escrita, dirigida à Presidência do Conselho, com antecedência mínima de 72 (setenta e duas) horas.</w:t>
      </w:r>
    </w:p>
    <w:p>
      <w:pPr>
        <w:pStyle w:val="style0"/>
        <w:spacing w:after="100" w:before="100" w:line="360" w:lineRule="auto"/>
        <w:ind w:hanging="0" w:left="567" w:right="-1"/>
        <w:contextualSpacing w:val="false"/>
      </w:pPr>
      <w:r>
        <w:rPr>
          <w:rFonts w:cs="Times New Roman"/>
          <w:b/>
        </w:rPr>
        <w:t xml:space="preserve">Art. 8º -  </w:t>
      </w:r>
      <w:r>
        <w:rPr>
          <w:rFonts w:cs="Times New Roman" w:eastAsia="Times New Roman"/>
          <w:lang w:bidi="ar-SA" w:eastAsia="pt-BR"/>
        </w:rPr>
        <w:t xml:space="preserve">O CMRH organiza-se da seguinte forma: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3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 </w:t>
        </w:r>
      </w:hyperlink>
      <w:r>
        <w:rPr>
          <w:rFonts w:cs="Times New Roman" w:eastAsia="Times New Roman"/>
          <w:lang w:bidi="ar-SA" w:eastAsia="pt-BR"/>
        </w:rPr>
        <w:t xml:space="preserve">- Presidência;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4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II </w:t>
        </w:r>
      </w:hyperlink>
      <w:r>
        <w:rPr>
          <w:rFonts w:cs="Times New Roman" w:eastAsia="Times New Roman"/>
          <w:lang w:bidi="ar-SA" w:eastAsia="pt-BR"/>
        </w:rPr>
        <w:t xml:space="preserve">- Vice-Presidência;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5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III </w:t>
        </w:r>
      </w:hyperlink>
      <w:r>
        <w:rPr>
          <w:rFonts w:cs="Times New Roman" w:eastAsia="Times New Roman"/>
          <w:lang w:bidi="ar-SA" w:eastAsia="pt-BR"/>
        </w:rPr>
        <w:t xml:space="preserve">- Secretaria Executiva;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6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IV </w:t>
        </w:r>
      </w:hyperlink>
      <w:r>
        <w:rPr>
          <w:rFonts w:cs="Times New Roman" w:eastAsia="Times New Roman"/>
          <w:lang w:bidi="ar-SA" w:eastAsia="pt-BR"/>
        </w:rPr>
        <w:t>- Plenário;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 xml:space="preserve">V – Grupos de Estudo e/ou Câmaras Técnicas;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7">
        <w:r>
          <w:rPr>
            <w:rStyle w:val="style18"/>
            <w:rFonts w:cs="Times New Roman" w:eastAsia="Times New Roman"/>
            <w:b/>
            <w:bCs/>
            <w:lang w:bidi="ar-SA" w:eastAsia="pt-BR"/>
          </w:rPr>
          <w:t>Art. 9</w:t>
        </w:r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º </w:t>
        </w:r>
      </w:hyperlink>
      <w:r>
        <w:rPr>
          <w:rFonts w:cs="Times New Roman" w:eastAsia="Times New Roman"/>
          <w:bCs/>
          <w:lang w:bidi="ar-SA" w:eastAsia="pt-BR"/>
        </w:rPr>
        <w:t xml:space="preserve">- </w:t>
      </w:r>
      <w:r>
        <w:rPr>
          <w:rFonts w:cs="Times New Roman" w:eastAsia="Times New Roman"/>
          <w:lang w:bidi="ar-SA" w:eastAsia="pt-BR"/>
        </w:rPr>
        <w:t>A Presidência e a Vice-Presidência são exercidas por membros do CMRH, eleitos pelo Plenário em votação nominal, majoritária e democrática, em sessão ordinária do CMRH, para mandato de 02 (dois) anos, permitida uma recondução para o mesmo cargo.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b/>
          <w:lang w:bidi="ar-SA" w:eastAsia="pt-BR"/>
        </w:rPr>
        <w:t>§ 1º -</w:t>
      </w:r>
      <w:r>
        <w:rPr>
          <w:rFonts w:cs="Times New Roman" w:eastAsia="Times New Roman"/>
          <w:lang w:bidi="ar-SA" w:eastAsia="pt-BR"/>
        </w:rPr>
        <w:t xml:space="preserve"> A presidência e a Vice-Presidência, em caso de vacância durante o mandato, serão preenchidas em novo processo eleitoral, respeitadas as definições do </w:t>
      </w:r>
      <w:r>
        <w:rPr>
          <w:rFonts w:cs="Times New Roman" w:eastAsia="Times New Roman"/>
          <w:i/>
          <w:lang w:bidi="ar-SA" w:eastAsia="pt-BR"/>
        </w:rPr>
        <w:t xml:space="preserve">caput </w:t>
      </w:r>
      <w:r>
        <w:rPr>
          <w:rFonts w:cs="Times New Roman" w:eastAsia="Times New Roman"/>
          <w:lang w:bidi="ar-SA" w:eastAsia="pt-BR"/>
        </w:rPr>
        <w:t>deste artigo.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b/>
          <w:lang w:bidi="ar-SA" w:eastAsia="pt-BR"/>
        </w:rPr>
        <w:t>§ 2º</w:t>
      </w:r>
      <w:r>
        <w:rPr>
          <w:rFonts w:cs="Times New Roman" w:eastAsia="Times New Roman"/>
          <w:lang w:bidi="ar-SA" w:eastAsia="pt-BR"/>
        </w:rPr>
        <w:t xml:space="preserve"> - O (a) s eleito(a)s na forma do </w:t>
      </w:r>
      <w:r>
        <w:rPr>
          <w:rFonts w:cs="Times New Roman" w:eastAsia="Times New Roman"/>
          <w:i/>
          <w:lang w:bidi="ar-SA" w:eastAsia="pt-BR"/>
        </w:rPr>
        <w:t>caput</w:t>
      </w:r>
      <w:r>
        <w:rPr>
          <w:rFonts w:cs="Times New Roman" w:eastAsia="Times New Roman"/>
          <w:lang w:bidi="ar-SA" w:eastAsia="pt-BR"/>
        </w:rPr>
        <w:t xml:space="preserve"> deste artigo são empossados pelo Plenário do CMRH.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8">
        <w:r>
          <w:rPr>
            <w:rStyle w:val="style18"/>
            <w:rFonts w:cs="Times New Roman" w:eastAsia="Times New Roman"/>
            <w:b/>
            <w:bCs/>
            <w:lang w:bidi="ar-SA" w:eastAsia="pt-BR"/>
          </w:rPr>
          <w:t xml:space="preserve">Art. 10 </w:t>
        </w:r>
      </w:hyperlink>
      <w:r>
        <w:rPr>
          <w:rFonts w:cs="Times New Roman" w:eastAsia="Times New Roman"/>
          <w:b/>
          <w:bCs/>
          <w:lang w:bidi="ar-SA" w:eastAsia="pt-BR"/>
        </w:rPr>
        <w:t xml:space="preserve">- </w:t>
      </w:r>
      <w:r>
        <w:rPr>
          <w:rFonts w:cs="Times New Roman" w:eastAsia="Times New Roman"/>
          <w:lang w:bidi="ar-SA" w:eastAsia="pt-BR"/>
        </w:rPr>
        <w:t xml:space="preserve">Compete ao(à) Presidente, auxiliado(a) pelo(a) Vice-Presidente no que couber: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9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 </w:t>
        </w:r>
      </w:hyperlink>
      <w:r>
        <w:rPr>
          <w:rFonts w:cs="Times New Roman" w:eastAsia="Times New Roman"/>
          <w:lang w:bidi="ar-SA" w:eastAsia="pt-BR"/>
        </w:rPr>
        <w:t xml:space="preserve">- dirigir os trabalhos do CMRH e presidir as reuniões do Plenário;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10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II </w:t>
        </w:r>
      </w:hyperlink>
      <w:r>
        <w:rPr>
          <w:rFonts w:cs="Times New Roman" w:eastAsia="Times New Roman"/>
          <w:lang w:bidi="ar-SA" w:eastAsia="pt-BR"/>
        </w:rPr>
        <w:t xml:space="preserve">- assinar e dar encaminhamento às deliberações do Plenário;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11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III </w:t>
        </w:r>
      </w:hyperlink>
      <w:r>
        <w:rPr>
          <w:rFonts w:cs="Times New Roman" w:eastAsia="Times New Roman"/>
          <w:lang w:bidi="ar-SA" w:eastAsia="pt-BR"/>
        </w:rPr>
        <w:t xml:space="preserve">- homologar e fazer cumprir as decisões do CMRH;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12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IV </w:t>
        </w:r>
      </w:hyperlink>
      <w:r>
        <w:rPr>
          <w:rFonts w:cs="Times New Roman" w:eastAsia="Times New Roman"/>
          <w:lang w:bidi="ar-SA" w:eastAsia="pt-BR"/>
        </w:rPr>
        <w:t>- homologar o Regimento Interno, aprovado pelo Plenário do CMRH;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13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V </w:t>
        </w:r>
      </w:hyperlink>
      <w:r>
        <w:rPr>
          <w:rFonts w:cs="Times New Roman" w:eastAsia="Times New Roman"/>
          <w:lang w:bidi="ar-SA" w:eastAsia="pt-BR"/>
        </w:rPr>
        <w:t xml:space="preserve">- decidir casos de urgência ou inadiáveis, do interesse ou salvaguarda das competências do CMRH, </w:t>
      </w:r>
      <w:r>
        <w:rPr>
          <w:rFonts w:cs="Times New Roman" w:eastAsia="Times New Roman"/>
          <w:i/>
          <w:lang w:bidi="ar-SA" w:eastAsia="pt-BR"/>
        </w:rPr>
        <w:t>ad referendum</w:t>
      </w:r>
      <w:r>
        <w:rPr>
          <w:rFonts w:cs="Times New Roman" w:eastAsia="Times New Roman"/>
          <w:lang w:bidi="ar-SA" w:eastAsia="pt-BR"/>
        </w:rPr>
        <w:t xml:space="preserve"> do Plenário;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14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VI </w:t>
        </w:r>
      </w:hyperlink>
      <w:r>
        <w:rPr>
          <w:rFonts w:cs="Times New Roman" w:eastAsia="Times New Roman"/>
          <w:lang w:bidi="ar-SA" w:eastAsia="pt-BR"/>
        </w:rPr>
        <w:t>- requerer à administração pública municipal: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>a) assessoramento técnico demandado do pelo Plenário;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 xml:space="preserve">b) elaboração de laudos, perícias e pareceres técnicos necessários à realização das competências do CMRH;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15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VII </w:t>
        </w:r>
      </w:hyperlink>
      <w:r>
        <w:rPr>
          <w:rFonts w:cs="Times New Roman" w:eastAsia="Times New Roman"/>
          <w:lang w:bidi="ar-SA" w:eastAsia="pt-BR"/>
        </w:rPr>
        <w:t>- determinar a suspensão temporária ou a redução de atividade poluidora dos mananciais hídricos,</w:t>
      </w:r>
      <w:r>
        <w:rPr>
          <w:rFonts w:cs="Times New Roman" w:eastAsia="Times New Roman"/>
          <w:i/>
          <w:lang w:bidi="ar-SA" w:eastAsia="pt-BR"/>
        </w:rPr>
        <w:t xml:space="preserve"> ad referendum </w:t>
      </w:r>
      <w:r>
        <w:rPr>
          <w:rFonts w:cs="Times New Roman" w:eastAsia="Times New Roman"/>
          <w:lang w:bidi="ar-SA" w:eastAsia="pt-BR"/>
        </w:rPr>
        <w:t xml:space="preserve">ou por determinação do Plenário, nos casos de grave e iminente risco para vidas humanas e para o meio ambiente;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Calibri"/>
          <w:lang w:bidi="ar-SA" w:eastAsia="en-US"/>
        </w:rPr>
        <w:t>VII</w:t>
      </w:r>
      <w:hyperlink r:id="rId16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 </w:t>
        </w:r>
      </w:hyperlink>
      <w:r>
        <w:rPr>
          <w:rFonts w:cs="Times New Roman" w:eastAsia="Times New Roman"/>
          <w:lang w:bidi="ar-SA" w:eastAsia="pt-BR"/>
        </w:rPr>
        <w:t>- delegar atribuições de sua competência, na forma do Regimento Interno;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>IX – orientar os trabalhos da Secretaria Executiva;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 xml:space="preserve">X – exercer outras competências, conforme decisão do Plenário.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17">
        <w:r>
          <w:rPr>
            <w:rStyle w:val="style18"/>
            <w:rFonts w:cs="Times New Roman" w:eastAsia="Times New Roman"/>
            <w:b/>
            <w:bCs/>
            <w:lang w:bidi="ar-SA" w:eastAsia="pt-BR"/>
          </w:rPr>
          <w:t xml:space="preserve">Art. 11 </w:t>
        </w:r>
      </w:hyperlink>
      <w:r>
        <w:rPr>
          <w:rFonts w:cs="Times New Roman" w:eastAsia="Times New Roman"/>
          <w:b/>
          <w:bCs/>
          <w:lang w:bidi="ar-SA" w:eastAsia="pt-BR"/>
        </w:rPr>
        <w:t xml:space="preserve">- </w:t>
      </w:r>
      <w:r>
        <w:rPr>
          <w:rFonts w:cs="Times New Roman" w:eastAsia="Times New Roman"/>
          <w:lang w:bidi="ar-SA" w:eastAsia="pt-BR"/>
        </w:rPr>
        <w:t>Compete ao(à) Vice-Presidente: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>I - substituir o(a) Presidente em suas ausências;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>II – exercer a Presidência, em caso de vacância desta durante o mandato, até a realização de nova eleição, nos termos do artigo 9º desta Lei;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>III – auxiliar a Presidência, na realização das competências desta;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>IV – assinar documentos com o(a) Presidente, conforme definição do Regimento Interno;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>V – exercer outras atribuições, conforme definições do Regimento Interno e/ou do Plenário.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18">
        <w:r>
          <w:rPr>
            <w:rStyle w:val="style18"/>
            <w:rFonts w:cs="Times New Roman" w:eastAsia="Times New Roman"/>
            <w:b/>
            <w:bCs/>
            <w:lang w:bidi="ar-SA" w:eastAsia="pt-BR"/>
          </w:rPr>
          <w:t xml:space="preserve">Art. 12 </w:t>
        </w:r>
      </w:hyperlink>
      <w:r>
        <w:rPr>
          <w:rFonts w:cs="Times New Roman" w:eastAsia="Times New Roman"/>
          <w:b/>
          <w:bCs/>
          <w:lang w:bidi="ar-SA" w:eastAsia="pt-BR"/>
        </w:rPr>
        <w:t xml:space="preserve">- </w:t>
      </w:r>
      <w:r>
        <w:rPr>
          <w:rFonts w:cs="Times New Roman" w:eastAsia="Times New Roman"/>
          <w:lang w:bidi="ar-SA" w:eastAsia="pt-BR"/>
        </w:rPr>
        <w:t>A Secretaria Executiva do CMRH deve ser exercida por servidor(a)  público(a) municipal, indicado(a) pelo(a) titular da  Secretaria  Municipal de Meio Ambiente e Sustentabilidade.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19">
        <w:r>
          <w:rPr>
            <w:rStyle w:val="style18"/>
            <w:rFonts w:cs="Times New Roman" w:eastAsia="Times New Roman"/>
            <w:b/>
            <w:bCs/>
            <w:lang w:bidi="ar-SA" w:eastAsia="pt-BR"/>
          </w:rPr>
          <w:t>Art. 13</w:t>
        </w:r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 </w:t>
        </w:r>
      </w:hyperlink>
      <w:r>
        <w:rPr>
          <w:rFonts w:cs="Times New Roman" w:eastAsia="Times New Roman"/>
          <w:bCs/>
          <w:lang w:bidi="ar-SA" w:eastAsia="pt-BR"/>
        </w:rPr>
        <w:t xml:space="preserve">- </w:t>
      </w:r>
      <w:r>
        <w:rPr>
          <w:rFonts w:cs="Times New Roman" w:eastAsia="Times New Roman"/>
          <w:lang w:bidi="ar-SA" w:eastAsia="pt-BR"/>
        </w:rPr>
        <w:t xml:space="preserve">Compete à Secretaria Executiva: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20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 </w:t>
        </w:r>
      </w:hyperlink>
      <w:r>
        <w:rPr>
          <w:rFonts w:cs="Times New Roman" w:eastAsia="Times New Roman"/>
          <w:lang w:bidi="ar-SA" w:eastAsia="pt-BR"/>
        </w:rPr>
        <w:t xml:space="preserve">- oferecer suporte e apoio administrativo à Presidência e ao Plenário, para a realização de suas atribuições;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21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II </w:t>
        </w:r>
      </w:hyperlink>
      <w:r>
        <w:rPr>
          <w:rFonts w:cs="Times New Roman" w:eastAsia="Times New Roman"/>
          <w:lang w:bidi="ar-SA" w:eastAsia="pt-BR"/>
        </w:rPr>
        <w:t xml:space="preserve">- tomar providências de ordem administrativa, necessárias ao rápido andamento das atividades do CMRH;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22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III </w:t>
        </w:r>
      </w:hyperlink>
      <w:r>
        <w:rPr>
          <w:rFonts w:cs="Times New Roman" w:eastAsia="Times New Roman"/>
          <w:lang w:bidi="ar-SA" w:eastAsia="pt-BR"/>
        </w:rPr>
        <w:t xml:space="preserve">- exercer outras atividades correlatas que lhe forem conferidas pela Presidência ou pelo Plenário. </w:t>
      </w:r>
      <w:hyperlink r:id="rId23">
        <w:r>
          <w:rPr>
            <w:rStyle w:val="style18"/>
            <w:rFonts w:cs="Times New Roman" w:eastAsia="Times New Roman"/>
            <w:lang w:bidi="ar-SA" w:eastAsia="pt-BR"/>
          </w:rPr>
          <w:t xml:space="preserve"> </w:t>
        </w:r>
      </w:hyperlink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24">
        <w:r>
          <w:rPr>
            <w:rStyle w:val="style18"/>
            <w:rFonts w:cs="Times New Roman" w:eastAsia="Times New Roman"/>
            <w:b/>
            <w:bCs/>
            <w:lang w:bidi="ar-SA" w:eastAsia="pt-BR"/>
          </w:rPr>
          <w:t>Art. 14</w:t>
        </w:r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 - O</w:t>
        </w:r>
      </w:hyperlink>
      <w:r>
        <w:rPr>
          <w:rFonts w:cs="Times New Roman" w:eastAsia="Times New Roman"/>
          <w:lang w:bidi="ar-SA" w:eastAsia="pt-BR"/>
        </w:rPr>
        <w:t xml:space="preserve"> Plenário é a instância superior de deliberação do CMRH, sendo constituído pelos membros titulares deste.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25">
        <w:r>
          <w:rPr>
            <w:rStyle w:val="style18"/>
            <w:rFonts w:cs="Times New Roman" w:eastAsia="Times New Roman"/>
            <w:b/>
            <w:bCs/>
            <w:lang w:bidi="ar-SA" w:eastAsia="pt-BR"/>
          </w:rPr>
          <w:t xml:space="preserve">Art. 15 </w:t>
        </w:r>
      </w:hyperlink>
      <w:r>
        <w:rPr>
          <w:rFonts w:cs="Times New Roman" w:eastAsia="Times New Roman"/>
          <w:b/>
          <w:bCs/>
          <w:lang w:bidi="ar-SA" w:eastAsia="pt-BR"/>
        </w:rPr>
        <w:t xml:space="preserve">- </w:t>
      </w:r>
      <w:r>
        <w:rPr>
          <w:rFonts w:cs="Times New Roman" w:eastAsia="Times New Roman"/>
          <w:bCs/>
          <w:lang w:bidi="ar-SA" w:eastAsia="pt-BR"/>
        </w:rPr>
        <w:t xml:space="preserve">Compete ao </w:t>
      </w:r>
      <w:r>
        <w:rPr>
          <w:rFonts w:cs="Times New Roman" w:eastAsia="Times New Roman"/>
          <w:lang w:bidi="ar-SA" w:eastAsia="pt-BR"/>
        </w:rPr>
        <w:t>Plenário: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26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 </w:t>
        </w:r>
      </w:hyperlink>
      <w:r>
        <w:rPr>
          <w:rFonts w:cs="Times New Roman" w:eastAsia="Times New Roman"/>
          <w:lang w:bidi="ar-SA" w:eastAsia="pt-BR"/>
        </w:rPr>
        <w:t>- aprovar o Regimento Interno do CMRH;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27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II </w:t>
        </w:r>
      </w:hyperlink>
      <w:r>
        <w:rPr>
          <w:rFonts w:cs="Times New Roman" w:eastAsia="Times New Roman"/>
          <w:lang w:bidi="ar-SA" w:eastAsia="pt-BR"/>
        </w:rPr>
        <w:t>- deliberar sobre políticas e normas de proteção e conservação dos mananciais e recursos hídricos do Município;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28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III </w:t>
        </w:r>
      </w:hyperlink>
      <w:r>
        <w:rPr>
          <w:rFonts w:cs="Times New Roman" w:eastAsia="Times New Roman"/>
          <w:lang w:bidi="ar-SA" w:eastAsia="pt-BR"/>
        </w:rPr>
        <w:t xml:space="preserve">- aprovar normas, diretrizes e outros atos complementares, necessários ao funcionamento efetivo do Sistema Municipal de Meio Ambiente, no que concerne aos recursos hídricos;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29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IV </w:t>
        </w:r>
      </w:hyperlink>
      <w:r>
        <w:rPr>
          <w:rFonts w:cs="Times New Roman" w:eastAsia="Times New Roman"/>
          <w:lang w:bidi="ar-SA" w:eastAsia="pt-BR"/>
        </w:rPr>
        <w:t xml:space="preserve">- solicitar à Presidência o assessoramento de órgãos vinculados à Administração Pública Municipal; 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hyperlink r:id="rId30">
        <w:r>
          <w:rPr>
            <w:rStyle w:val="style18"/>
            <w:rFonts w:cs="Times New Roman" w:eastAsia="Times New Roman"/>
            <w:bCs/>
            <w:lang w:bidi="ar-SA" w:eastAsia="pt-BR"/>
          </w:rPr>
          <w:t xml:space="preserve">V </w:t>
        </w:r>
      </w:hyperlink>
      <w:r>
        <w:rPr>
          <w:rFonts w:cs="Times New Roman" w:eastAsia="Times New Roman"/>
          <w:lang w:bidi="ar-SA" w:eastAsia="pt-BR"/>
        </w:rPr>
        <w:t>- exercer outras atividades correlatas que lhe forem conferidas;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>VI - constituir grupo de estudo ou câmara técnica, quando o objeto de atuação do CMRH demandar análises e estudos especializados;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lang w:bidi="ar-SA" w:eastAsia="pt-BR"/>
        </w:rPr>
        <w:t>VII – garantir a realização das competências do CMRH, conforme disto no artigo 4º desta Lei.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textAlignment w:val="auto"/>
      </w:pPr>
      <w:r>
        <w:rPr>
          <w:rFonts w:cs="Times New Roman" w:eastAsia="Times New Roman"/>
          <w:b/>
          <w:lang w:bidi="ar-SA" w:eastAsia="pt-BR"/>
        </w:rPr>
        <w:t>Art. 16</w:t>
      </w:r>
      <w:r>
        <w:rPr>
          <w:rFonts w:cs="Times New Roman" w:eastAsia="Times New Roman"/>
          <w:lang w:bidi="ar-SA" w:eastAsia="pt-BR"/>
        </w:rPr>
        <w:t xml:space="preserve"> - O CMRH, mediante decisão do Plenário, pode constituir grupo de estudo ou câmara técnica, conforme disposto no inciso V deste artigo.</w:t>
      </w:r>
    </w:p>
    <w:p>
      <w:pPr>
        <w:pStyle w:val="style0"/>
        <w:widowControl/>
        <w:suppressAutoHyphens w:val="false"/>
        <w:spacing w:after="100" w:before="100" w:line="360" w:lineRule="auto"/>
        <w:ind w:hanging="0" w:left="567" w:right="-1"/>
        <w:contextualSpacing w:val="false"/>
        <w:jc w:val="both"/>
        <w:textAlignment w:val="auto"/>
      </w:pPr>
      <w:r>
        <w:rPr>
          <w:rFonts w:cs="Times New Roman" w:eastAsia="Times New Roman"/>
          <w:b/>
          <w:lang w:bidi="ar-SA" w:eastAsia="pt-BR"/>
        </w:rPr>
        <w:t>Parágrafo único -</w:t>
      </w:r>
      <w:r>
        <w:rPr>
          <w:rFonts w:cs="Times New Roman" w:eastAsia="Times New Roman"/>
          <w:lang w:bidi="ar-SA" w:eastAsia="pt-BR"/>
        </w:rPr>
        <w:t xml:space="preserve"> Grupo de estudo e câmara técnica são instâncias colegiadas, encarregadas da análise, dos estudos e da emissão de parecer técnico sobre matérias específicas, necessários à efetiva atuação do CMRH.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 xml:space="preserve">Art. 17 - </w:t>
      </w:r>
      <w:r>
        <w:rPr>
          <w:rFonts w:cs="Arial"/>
        </w:rPr>
        <w:t>Seja acrescentado o seguinte parágrafo único ao artigo 4º da Lei</w:t>
      </w:r>
      <w:r>
        <w:rPr>
          <w:rFonts w:cs="Arial"/>
          <w:b/>
        </w:rPr>
        <w:t xml:space="preserve"> </w:t>
      </w:r>
      <w:r>
        <w:rPr>
          <w:rFonts w:cs="Arial"/>
        </w:rPr>
        <w:t>7417 de 10/05/2007, que dispõe sobre a reorganização do Conselho Municipal de Defesa do Meio Ambiente – CODEMA: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>“</w:t>
      </w:r>
      <w:r>
        <w:rPr>
          <w:rFonts w:cs="Arial"/>
          <w:i/>
          <w:iCs/>
        </w:rPr>
        <w:t>Art. 4º ….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i/>
          <w:iCs/>
        </w:rPr>
        <w:t>…</w:t>
      </w:r>
      <w:r>
        <w:rPr>
          <w:rFonts w:cs="Arial"/>
          <w:i/>
          <w:iCs/>
        </w:rPr>
        <w:t>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i/>
          <w:iCs/>
        </w:rPr>
        <w:t>Parágrafo único - As matérias sobre as quais tenham que deliberar o Conselho Municipal de Recursos Hídricos –</w:t>
      </w:r>
      <w:r>
        <w:rPr>
          <w:rFonts w:cs="Arial"/>
          <w:b/>
          <w:i/>
          <w:iCs/>
        </w:rPr>
        <w:t xml:space="preserve"> </w:t>
      </w:r>
      <w:r>
        <w:rPr>
          <w:rFonts w:cs="Arial"/>
          <w:i/>
          <w:iCs/>
        </w:rPr>
        <w:t>CMRH - e o Conselho Municipal de Defesa do Meio Ambiente – CODEMA, que suscitarem conflito entre os dois conselhos, devem ser analisadas e decididas em reunião conjunta dos plenários dos dois órgãos, especialmente convocada para tal fim pelos Presidentes dos mesmos.”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>Art. 18 -</w:t>
      </w:r>
      <w:r>
        <w:rPr>
          <w:rFonts w:cs="Arial"/>
        </w:rPr>
        <w:t xml:space="preserve"> As despesas decorrentes da presente Lei correrão por conta de verbas próprias, consignadas no orçamento da Secretaria Municipal de Meio Ambiente e Sustentabilidade e suplementadas, se necessário.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  <w:bCs/>
        </w:rPr>
        <w:t xml:space="preserve">Art. 19 – </w:t>
      </w:r>
      <w:r>
        <w:rPr>
          <w:rFonts w:cs="Arial"/>
        </w:rPr>
        <w:t>Cabe ao titular da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Secretaria Municipal de Meio Ambiente e Sustentabilidade, desencadear e conduzir o processo de formação e instalação do CMRH/SL, até que ocorra a posse dos conselheiros e a escolha dos dirigentes.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</w:rPr>
        <w:t xml:space="preserve">§ 1º - </w:t>
      </w:r>
      <w:r>
        <w:rPr>
          <w:rFonts w:cs="Arial"/>
        </w:rPr>
        <w:t>O cumprimento do disposto no caput deste artigo deve ocorrer no prazo de até 90 dias da vigência desta Lei.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</w:rPr>
        <w:t xml:space="preserve">§ 2º - </w:t>
      </w:r>
      <w:r>
        <w:rPr>
          <w:rFonts w:cs="Arial"/>
        </w:rPr>
        <w:t>O Plenário do CMRH deve elaborar e aprovar o seu Regimento Interno em até 90 dias a partir da posse dos seus membros.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  <w:b/>
        </w:rPr>
        <w:t>Art. 20 -</w:t>
      </w:r>
      <w:r>
        <w:rPr>
          <w:rFonts w:cs="Arial"/>
        </w:rPr>
        <w:t xml:space="preserve"> Esta Lei entra em vigor na data de sua publicação.</w:t>
      </w:r>
    </w:p>
    <w:p>
      <w:pPr>
        <w:pStyle w:val="style0"/>
        <w:ind w:hanging="0" w:left="567" w:right="-1"/>
        <w:jc w:val="both"/>
      </w:pPr>
      <w:r>
        <w:rPr>
          <w:rFonts w:cs="Times New Roman"/>
        </w:rPr>
        <w:t xml:space="preserve"> </w:t>
      </w:r>
    </w:p>
    <w:p>
      <w:pPr>
        <w:pStyle w:val="style0"/>
        <w:ind w:hanging="0" w:left="567" w:right="-1"/>
        <w:jc w:val="center"/>
      </w:pPr>
      <w:r>
        <w:rPr>
          <w:rFonts w:cs="Times New Roman"/>
        </w:rPr>
        <w:t>Sala das Sessões, 23 de março de 2015.</w:t>
      </w:r>
    </w:p>
    <w:p>
      <w:pPr>
        <w:pStyle w:val="style0"/>
        <w:ind w:hanging="0" w:left="567" w:right="-1"/>
        <w:jc w:val="center"/>
      </w:pPr>
      <w:r>
        <w:rPr>
          <w:rFonts w:cs="Times New Roman"/>
        </w:rPr>
      </w:r>
    </w:p>
    <w:p>
      <w:pPr>
        <w:pStyle w:val="style0"/>
        <w:ind w:hanging="0" w:left="567" w:right="-1"/>
        <w:jc w:val="center"/>
      </w:pPr>
      <w:r>
        <w:rPr>
          <w:rFonts w:cs="Times New Roman"/>
        </w:rPr>
      </w:r>
    </w:p>
    <w:p>
      <w:pPr>
        <w:pStyle w:val="style0"/>
        <w:ind w:hanging="0" w:left="567" w:right="-1"/>
        <w:jc w:val="center"/>
      </w:pPr>
      <w:r>
        <w:rPr>
          <w:rFonts w:cs="Times New Roman" w:eastAsia="Times New Roman"/>
          <w:lang w:bidi="ar-SA" w:eastAsia="ar-SA"/>
        </w:rPr>
        <w:t>_______________________________________</w:t>
      </w:r>
    </w:p>
    <w:p>
      <w:pPr>
        <w:pStyle w:val="style2"/>
        <w:tabs>
          <w:tab w:leader="none" w:pos="567" w:val="left"/>
        </w:tabs>
        <w:ind w:hanging="0" w:left="567" w:right="-1"/>
      </w:pPr>
      <w:r>
        <w:rPr>
          <w:rFonts w:ascii="Times New Roman" w:cs="Times New Roman" w:eastAsia="Times New Roman" w:hAnsi="Times New Roman"/>
          <w:lang w:bidi="ar-SA" w:eastAsia="ar-SA"/>
        </w:rPr>
        <w:t>João Evangelista Pereira de Sá - Vereador PSDB</w:t>
      </w:r>
    </w:p>
    <w:p>
      <w:pPr>
        <w:pStyle w:val="style0"/>
        <w:ind w:hanging="0" w:left="567" w:right="-1"/>
        <w:jc w:val="center"/>
      </w:pPr>
      <w:r>
        <w:rPr>
          <w:rFonts w:cs="Times New Roman" w:eastAsia="Times New Roman"/>
          <w:lang w:bidi="ar-SA" w:eastAsia="ar-SA"/>
        </w:rPr>
      </w:r>
    </w:p>
    <w:p>
      <w:pPr>
        <w:pStyle w:val="style0"/>
        <w:ind w:hanging="0" w:left="567" w:right="-1"/>
      </w:pPr>
      <w:r>
        <w:rPr>
          <w:rFonts w:cs="Times New Roman" w:eastAsia="Liberation Serif"/>
        </w:rPr>
        <w:t xml:space="preserve">     </w:t>
      </w:r>
    </w:p>
    <w:p>
      <w:pPr>
        <w:pStyle w:val="style0"/>
        <w:ind w:hanging="0" w:left="567" w:right="-1"/>
        <w:jc w:val="center"/>
      </w:pPr>
      <w:r>
        <w:rPr>
          <w:rFonts w:cs="Times New Roman"/>
          <w:b/>
          <w:bCs/>
          <w:u w:val="single"/>
        </w:rPr>
        <w:t>JUSTIFICATIVA</w:t>
      </w:r>
    </w:p>
    <w:p>
      <w:pPr>
        <w:pStyle w:val="style0"/>
        <w:ind w:hanging="0" w:left="567" w:right="-1"/>
        <w:jc w:val="center"/>
      </w:pPr>
      <w:r>
        <w:rPr>
          <w:rFonts w:cs="Times New Roman"/>
        </w:rPr>
      </w:r>
    </w:p>
    <w:p>
      <w:pPr>
        <w:pStyle w:val="style0"/>
        <w:ind w:hanging="0" w:left="567" w:right="-1"/>
        <w:jc w:val="both"/>
      </w:pPr>
      <w:r>
        <w:rPr>
          <w:rFonts w:cs="Times New Roman"/>
        </w:rPr>
        <w:tab/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Times New Roman"/>
        </w:rPr>
        <w:tab/>
        <w:tab/>
        <w:t>O autor deste Anteprojeto de Lei segue o foco da priorização das políticas públicas de caráter efetivo.</w:t>
      </w:r>
      <w:r>
        <w:rPr>
          <w:rFonts w:cs="Arial"/>
        </w:rPr>
        <w:t xml:space="preserve"> A crise de água, que ora vivemos, aguça os desafios da necessidade de proteção dos recursos e mananciais hídricos, de educação e mudança radical de hábitos quanto ao uso racional da água.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Times New Roman"/>
        </w:rPr>
        <w:tab/>
        <w:tab/>
        <w:t xml:space="preserve">Com a aprovação do APL que apresenta, certamente contribuirá para a realização de </w:t>
      </w:r>
      <w:r>
        <w:rPr>
          <w:rFonts w:cs="Arial"/>
        </w:rPr>
        <w:t>serviços, estudos, pesquisas, obras e projetos, voltados para a proteção dos mananciais e o uso racional e sustentável dos recursos hídricos.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Arial"/>
        </w:rPr>
        <w:tab/>
        <w:tab/>
        <w:t xml:space="preserve">O Conselho Municipal de Recursos Hídricos, que se propõe, será mais um instrumento para facilitar e estimular a participação e atuação dos sete-lagoanos nessa perspectiva, no âmbito do Município. </w:t>
      </w:r>
    </w:p>
    <w:p>
      <w:pPr>
        <w:pStyle w:val="style0"/>
        <w:spacing w:line="360" w:lineRule="auto"/>
        <w:ind w:firstLine="708" w:left="567" w:right="-1"/>
        <w:jc w:val="both"/>
      </w:pPr>
      <w:r>
        <w:rPr>
          <w:rFonts w:cs="Arial"/>
        </w:rPr>
        <w:t>Na elaboração do APL, o autor procurou não sobrepor atribuições do CMRH às do Conselho Municipal de Defesa do Meio Ambiente – CODEMA, prevendo mesmo um dispositivo que permite solucionar eventual conflito de deliberação dos dois conselhos, sobre matéria de deliberação comum (ver § 2º do artigo 4º e artigo 17 deste APL).</w:t>
      </w:r>
    </w:p>
    <w:p>
      <w:pPr>
        <w:pStyle w:val="style0"/>
        <w:spacing w:line="360" w:lineRule="auto"/>
        <w:ind w:hanging="0" w:left="567" w:right="-1"/>
        <w:jc w:val="both"/>
      </w:pPr>
      <w:r>
        <w:rPr>
          <w:rFonts w:cs="Times New Roman"/>
        </w:rPr>
        <w:tab/>
        <w:tab/>
        <w:t>Na certeza de que o Legislativo dará uma contribuição significativa na resposta aos desafios da água, espera aprovação dos nobres pares e acolhida pelo Chefe do Poder Executivo.</w:t>
      </w:r>
    </w:p>
    <w:p>
      <w:pPr>
        <w:pStyle w:val="style0"/>
        <w:spacing w:line="360" w:lineRule="auto"/>
        <w:ind w:hanging="0" w:left="567" w:right="-1"/>
        <w:jc w:val="both"/>
      </w:pPr>
      <w:bookmarkStart w:id="0" w:name="_GoBack"/>
      <w:bookmarkStart w:id="1" w:name="_GoBack"/>
      <w:bookmarkEnd w:id="1"/>
      <w:r>
        <w:rPr>
          <w:rFonts w:cs="Times New Roman" w:eastAsia="Times New Roman"/>
          <w:b/>
          <w:lang w:bidi="ar-SA"/>
        </w:rPr>
      </w:r>
    </w:p>
    <w:p>
      <w:pPr>
        <w:pStyle w:val="style0"/>
        <w:spacing w:line="360" w:lineRule="auto"/>
        <w:ind w:hanging="0" w:left="567" w:right="75"/>
        <w:jc w:val="center"/>
      </w:pPr>
      <w:r>
        <w:rPr>
          <w:rFonts w:cs="Arial" w:eastAsia="Times New Roman"/>
          <w:b/>
          <w:sz w:val="20"/>
          <w:szCs w:val="20"/>
          <w:lang w:bidi="ar-SA"/>
        </w:rPr>
      </w:r>
    </w:p>
    <w:p>
      <w:pPr>
        <w:pStyle w:val="style0"/>
        <w:spacing w:line="360" w:lineRule="auto"/>
        <w:ind w:hanging="0" w:left="567" w:right="0"/>
      </w:pPr>
      <w:r>
        <w:rPr/>
      </w:r>
    </w:p>
    <w:p>
      <w:pPr>
        <w:pStyle w:val="style0"/>
        <w:spacing w:line="360" w:lineRule="auto"/>
        <w:ind w:hanging="0" w:left="567" w:right="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 Unicode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Mangal" w:eastAsia="Lucida Sans Unicode" w:hAnsi="Times New Roman"/>
      <w:color w:val="auto"/>
      <w:sz w:val="24"/>
      <w:szCs w:val="24"/>
      <w:lang w:bidi="hi-IN" w:eastAsia="zh-CN" w:val="pt-BR"/>
    </w:rPr>
  </w:style>
  <w:style w:styleId="style2" w:type="paragraph">
    <w:name w:val="Título 2"/>
    <w:basedOn w:val="style0"/>
    <w:next w:val="style2"/>
    <w:pPr>
      <w:keepNext/>
      <w:jc w:val="center"/>
    </w:pPr>
    <w:rPr>
      <w:rFonts w:ascii="Tahoma" w:cs="Tahoma" w:hAnsi="Tahoma"/>
      <w:b/>
      <w:bCs/>
    </w:rPr>
  </w:style>
  <w:style w:styleId="style15" w:type="character">
    <w:name w:val="Default Paragraph Font"/>
    <w:next w:val="style15"/>
    <w:rPr/>
  </w:style>
  <w:style w:styleId="style16" w:type="character">
    <w:name w:val="Título 2 Char"/>
    <w:basedOn w:val="style15"/>
    <w:next w:val="style16"/>
    <w:rPr>
      <w:rFonts w:ascii="Tahoma" w:cs="Tahoma" w:eastAsia="Lucida Sans Unicode" w:hAnsi="Tahoma"/>
      <w:b/>
      <w:bCs/>
      <w:sz w:val="24"/>
      <w:szCs w:val="24"/>
      <w:lang w:bidi="hi-IN" w:eastAsia="zh-CN"/>
    </w:rPr>
  </w:style>
  <w:style w:styleId="style17" w:type="character">
    <w:name w:val="Cabeçalho Char"/>
    <w:basedOn w:val="style15"/>
    <w:next w:val="style17"/>
    <w:rPr>
      <w:rFonts w:ascii="Times New Roman" w:cs="Mangal" w:eastAsia="Lucida Sans Unicode" w:hAnsi="Times New Roman"/>
      <w:sz w:val="24"/>
      <w:szCs w:val="24"/>
      <w:lang w:bidi="hi-IN" w:eastAsia="zh-CN"/>
    </w:rPr>
  </w:style>
  <w:style w:styleId="style18" w:type="character">
    <w:name w:val="Link da Internet"/>
    <w:next w:val="style18"/>
    <w:rPr>
      <w:color w:val="000080"/>
      <w:u w:val="single"/>
      <w:lang w:bidi="zxx-" w:eastAsia="zxx-" w:val="zxx-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</w:pPr>
    <w:rPr/>
  </w:style>
  <w:style w:styleId="style25" w:type="paragraph">
    <w:name w:val="Normal (Web)"/>
    <w:basedOn w:val="style0"/>
    <w:next w:val="style25"/>
    <w:pPr>
      <w:spacing w:after="280" w:before="280"/>
      <w:contextualSpacing w:val="false"/>
    </w:pPr>
    <w:rPr>
      <w:rFonts w:ascii="Arial Unicode MS" w:cs="Arial Unicode MS" w:eastAsia="Arial Unicode MS" w:hAnsi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jusbrasil.com.br/topicos/23812726/art-12-inc-i-da-lei-7417-07-sete-lagoas" TargetMode="External"/><Relationship Id="rId4" Type="http://schemas.openxmlformats.org/officeDocument/2006/relationships/hyperlink" Target="http://www.jusbrasil.com.br/topicos/23812710/art-12-inc-ii-da-lei-7417-07-sete-lagoas" TargetMode="External"/><Relationship Id="rId5" Type="http://schemas.openxmlformats.org/officeDocument/2006/relationships/hyperlink" Target="http://www.jusbrasil.com.br/topicos/23812703/art-12-inc-iii-da-lei-7417-07-sete-lagoas" TargetMode="External"/><Relationship Id="rId6" Type="http://schemas.openxmlformats.org/officeDocument/2006/relationships/hyperlink" Target="http://www.jusbrasil.com.br/topicos/23812695/art-12-inc-iv-da-lei-7417-07-sete-lagoas" TargetMode="External"/><Relationship Id="rId7" Type="http://schemas.openxmlformats.org/officeDocument/2006/relationships/hyperlink" Target="http://www.jusbrasil.com.br/topicos/23812672/art-13-da-lei-7417-07-sete-lagoas" TargetMode="External"/><Relationship Id="rId8" Type="http://schemas.openxmlformats.org/officeDocument/2006/relationships/hyperlink" Target="http://www.jusbrasil.com.br/topicos/23812623/art-14-da-lei-7417-07-sete-lagoas" TargetMode="External"/><Relationship Id="rId9" Type="http://schemas.openxmlformats.org/officeDocument/2006/relationships/hyperlink" Target="http://www.jusbrasil.com.br/topicos/23812613/art-14-inc-i-da-lei-7417-07-sete-lagoas" TargetMode="External"/><Relationship Id="rId10" Type="http://schemas.openxmlformats.org/officeDocument/2006/relationships/hyperlink" Target="http://www.jusbrasil.com.br/topicos/23812602/art-14-inc-ii-da-lei-7417-07-sete-lagoas" TargetMode="External"/><Relationship Id="rId11" Type="http://schemas.openxmlformats.org/officeDocument/2006/relationships/hyperlink" Target="http://www.jusbrasil.com.br/topicos/23812589/art-14-inc-iii-da-lei-7417-07-sete-lagoas" TargetMode="External"/><Relationship Id="rId12" Type="http://schemas.openxmlformats.org/officeDocument/2006/relationships/hyperlink" Target="http://www.jusbrasil.com.br/topicos/23812574/art-14-inc-iv-da-lei-7417-07-sete-lagoas" TargetMode="External"/><Relationship Id="rId13" Type="http://schemas.openxmlformats.org/officeDocument/2006/relationships/hyperlink" Target="http://www.jusbrasil.com.br/topicos/23812561/art-14-inc-v-da-lei-7417-07-sete-lagoas" TargetMode="External"/><Relationship Id="rId14" Type="http://schemas.openxmlformats.org/officeDocument/2006/relationships/hyperlink" Target="http://www.jusbrasil.com.br/topicos/23812546/art-14-inc-vi-da-lei-7417-07-sete-lagoas" TargetMode="External"/><Relationship Id="rId15" Type="http://schemas.openxmlformats.org/officeDocument/2006/relationships/hyperlink" Target="http://www.jusbrasil.com.br/topicos/23812536/art-14-inc-vii-da-lei-7417-07-sete-lagoas" TargetMode="External"/><Relationship Id="rId16" Type="http://schemas.openxmlformats.org/officeDocument/2006/relationships/hyperlink" Target="http://www.jusbrasil.com.br/topicos/23812510/art-14-inc-ix-da-lei-7417-07-sete-lagoas" TargetMode="External"/><Relationship Id="rId17" Type="http://schemas.openxmlformats.org/officeDocument/2006/relationships/hyperlink" Target="http://www.jusbrasil.com.br/topicos/23812498/art-15-da-lei-7417-07-sete-lagoas" TargetMode="External"/><Relationship Id="rId18" Type="http://schemas.openxmlformats.org/officeDocument/2006/relationships/hyperlink" Target="http://www.jusbrasil.com.br/topicos/23812482/art-16-da-lei-7417-07-sete-lagoas" TargetMode="External"/><Relationship Id="rId19" Type="http://schemas.openxmlformats.org/officeDocument/2006/relationships/hyperlink" Target="http://www.jusbrasil.com.br/topicos/23812472/art-17-da-lei-7417-07-sete-lagoas" TargetMode="External"/><Relationship Id="rId20" Type="http://schemas.openxmlformats.org/officeDocument/2006/relationships/hyperlink" Target="http://www.jusbrasil.com.br/topicos/23812462/art-17-inc-i-da-lei-7417-07-sete-lagoas" TargetMode="External"/><Relationship Id="rId21" Type="http://schemas.openxmlformats.org/officeDocument/2006/relationships/hyperlink" Target="http://www.jusbrasil.com.br/topicos/23812455/art-17-inc-ii-da-lei-7417-07-sete-lagoas" TargetMode="External"/><Relationship Id="rId22" Type="http://schemas.openxmlformats.org/officeDocument/2006/relationships/hyperlink" Target="http://www.jusbrasil.com.br/topicos/23812447/art-17-inc-iii-da-lei-7417-07-sete-lagoas" TargetMode="External"/><Relationship Id="rId23" Type="http://schemas.openxmlformats.org/officeDocument/2006/relationships/hyperlink" Target="http://www.jusbrasil.com.br/topicos/23812447/art-17-inc-iii-da-lei-7417-07-sete-lagoas" TargetMode="External"/><Relationship Id="rId24" Type="http://schemas.openxmlformats.org/officeDocument/2006/relationships/hyperlink" Target="http://www.jusbrasil.com.br/topicos/23812440/art-18-da-lei-7417-07-sete-lagoas" TargetMode="External"/><Relationship Id="rId25" Type="http://schemas.openxmlformats.org/officeDocument/2006/relationships/hyperlink" Target="http://www.jusbrasil.com.br/topicos/23812430/art-19-da-lei-7417-07-sete-lagoas" TargetMode="External"/><Relationship Id="rId26" Type="http://schemas.openxmlformats.org/officeDocument/2006/relationships/hyperlink" Target="http://www.jusbrasil.com.br/topicos/23812414/art-19-inc-i-da-lei-7417-07-sete-lagoas" TargetMode="External"/><Relationship Id="rId27" Type="http://schemas.openxmlformats.org/officeDocument/2006/relationships/hyperlink" Target="http://www.jusbrasil.com.br/topicos/23812402/art-19-inc-ii-da-lei-7417-07-sete-lagoas" TargetMode="External"/><Relationship Id="rId28" Type="http://schemas.openxmlformats.org/officeDocument/2006/relationships/hyperlink" Target="http://www.jusbrasil.com.br/topicos/23812383/art-19-inc-iii-da-lei-7417-07-sete-lagoas" TargetMode="External"/><Relationship Id="rId29" Type="http://schemas.openxmlformats.org/officeDocument/2006/relationships/hyperlink" Target="http://www.jusbrasil.com.br/topicos/23812336/art-19-inc-vi-da-lei-7417-07-sete-lagoas" TargetMode="External"/><Relationship Id="rId30" Type="http://schemas.openxmlformats.org/officeDocument/2006/relationships/hyperlink" Target="http://www.jusbrasil.com.br/topicos/23812311/art-19-inc-viii-da-lei-7417-07-sete-lagoas" TargetMode="External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2015-03-24T14:01:00.00Z</dcterms:created>
  <dc:creator>ANTONINA</dc:creator>
  <cp:lastModifiedBy>ANTONINA</cp:lastModifiedBy>
  <dcterms:modified xsi:type="dcterms:W3CDTF">2015-03-24T14:58:00.00Z</dcterms:modified>
  <cp:revision>9</cp:revision>
</cp:coreProperties>
</file>