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1.png" ContentType="image/png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hanging="0" w:left="2552" w:right="-702"/>
        <w:jc w:val="both"/>
      </w:pPr>
      <w:r>
        <w:rPr>
          <w:rFonts w:cs="Tahoma"/>
          <w:b/>
        </w:rPr>
      </w:r>
    </w:p>
    <w:p>
      <w:pPr>
        <w:pStyle w:val="style0"/>
        <w:ind w:hanging="0" w:left="2552" w:right="-702"/>
        <w:jc w:val="both"/>
      </w:pPr>
      <w:r>
        <w:rPr>
          <w:rFonts w:cs="Tahoma"/>
          <w:b/>
        </w:rPr>
      </w:r>
    </w:p>
    <w:p>
      <w:pPr>
        <w:pStyle w:val="style0"/>
        <w:ind w:hanging="2552" w:left="2552" w:right="-702"/>
        <w:jc w:val="both"/>
      </w:pPr>
      <w:r>
        <w:rPr/>
        <w:drawing>
          <wp:inline distB="0" distL="0" distR="0" distT="0">
            <wp:extent cx="5400675" cy="107632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hanging="0" w:left="2552" w:right="-702"/>
        <w:jc w:val="both"/>
      </w:pPr>
      <w:r>
        <w:rPr>
          <w:rFonts w:ascii="Verdana" w:cs="Tahoma" w:hAnsi="Verdana"/>
          <w:b/>
        </w:rPr>
        <w:t>PROJETO DE LEI Nº           /2015.</w:t>
      </w:r>
    </w:p>
    <w:p>
      <w:pPr>
        <w:pStyle w:val="style0"/>
        <w:ind w:hanging="0" w:left="2552" w:right="-702"/>
        <w:jc w:val="both"/>
      </w:pPr>
      <w:r>
        <w:rPr>
          <w:rFonts w:ascii="Verdana" w:cs="Tahoma" w:hAnsi="Verdana"/>
          <w:b/>
        </w:rPr>
      </w:r>
    </w:p>
    <w:p>
      <w:pPr>
        <w:pStyle w:val="style0"/>
        <w:ind w:hanging="0" w:left="2552" w:right="-702"/>
        <w:jc w:val="both"/>
      </w:pPr>
      <w:r>
        <w:rPr>
          <w:rFonts w:ascii="Verdana" w:cs="Tahoma" w:hAnsi="Verdana"/>
          <w:b/>
        </w:rPr>
      </w:r>
    </w:p>
    <w:p>
      <w:pPr>
        <w:pStyle w:val="style0"/>
        <w:ind w:hanging="0" w:left="2552" w:right="18"/>
        <w:jc w:val="both"/>
      </w:pPr>
      <w:r>
        <w:rPr>
          <w:rFonts w:ascii="Verdana" w:cs="Tahoma" w:hAnsi="Verdana"/>
          <w:b/>
        </w:rPr>
        <w:t>DISPÕE SOBRE A REVISÃO ANUAL DOS VENCIMENTOS E SUBSÍDIOS PAGOS PELO  PODER LEGISLATIVO MUNICIPAL E CONCEDE REAJUSTE NA FORMA DE ABONO NOS TERMOS QUE MENCIONA.</w:t>
      </w:r>
    </w:p>
    <w:p>
      <w:pPr>
        <w:pStyle w:val="style0"/>
        <w:ind w:firstLine="2172" w:left="1134" w:right="18"/>
        <w:jc w:val="both"/>
      </w:pPr>
      <w:r>
        <w:rPr>
          <w:rFonts w:ascii="Verdana" w:cs="Tahoma" w:hAnsi="Verdana"/>
          <w:b/>
        </w:rPr>
      </w:r>
    </w:p>
    <w:p>
      <w:pPr>
        <w:pStyle w:val="style0"/>
        <w:ind w:firstLine="2172" w:left="1134" w:right="18"/>
        <w:jc w:val="both"/>
      </w:pPr>
      <w:r>
        <w:rPr>
          <w:rFonts w:ascii="Verdana" w:cs="Tahoma" w:hAnsi="Verdana"/>
          <w:b/>
        </w:rPr>
      </w:r>
    </w:p>
    <w:p>
      <w:pPr>
        <w:pStyle w:val="style0"/>
        <w:ind w:firstLine="2552" w:left="0" w:right="18"/>
        <w:jc w:val="both"/>
      </w:pPr>
      <w:r>
        <w:rPr>
          <w:rFonts w:ascii="Verdana" w:cs="Tahoma" w:hAnsi="Verdana"/>
        </w:rPr>
        <w:t>Art. 1º Fica concedida a revisão anual dos vencimentos dos servidores públicos municipais efetivos, comissionados, dos detentores de funções públicas e dos contratados temporários do Poder Legislativo Municipal, bem como dos subsídios dos Vereadores</w:t>
      </w:r>
      <w:r>
        <w:rPr>
          <w:rFonts w:ascii="Verdana" w:hAnsi="Verdana"/>
        </w:rPr>
        <w:t xml:space="preserve"> do Município de Sete Lagoas, </w:t>
      </w:r>
      <w:r>
        <w:rPr>
          <w:rFonts w:ascii="Verdana" w:cs="Tahoma" w:hAnsi="Verdana"/>
        </w:rPr>
        <w:t>aplicando-se o percentual de 6,41% (seis vírgula quarenta e um por cento) relativo ao Índice Nacional de Preços ao Consumidor Amplo – IPCA acumulado no período de janeiro a dezembro de 2014, tendo como base de cálculo o vencimento-base e o valor do subsídio percebidos no mês de dezembro/2014.</w:t>
      </w:r>
    </w:p>
    <w:p>
      <w:pPr>
        <w:pStyle w:val="style0"/>
        <w:ind w:firstLine="2552" w:left="0" w:right="18"/>
        <w:jc w:val="both"/>
      </w:pPr>
      <w:r>
        <w:rPr>
          <w:rFonts w:ascii="Verdana" w:cs="Tahoma" w:hAnsi="Verdana"/>
        </w:rPr>
        <w:t xml:space="preserve">Parágrafo único: A revisão de que trata este artigo está fundamentada </w:t>
      </w:r>
      <w:r>
        <w:rPr>
          <w:rFonts w:ascii="Verdana" w:hAnsi="Verdana"/>
        </w:rPr>
        <w:t>nos arts. 166 e 167 da Lei Complementar nº 79, de 9 de julho de 2003, c/c art. 37, X da Constituição Federal, e ainda o art. 2º da Lei nº 8.179, de 11 de julho de 2012, alterada pela Lei nº 8.324, de 10 de março de 2014.</w:t>
      </w:r>
    </w:p>
    <w:p>
      <w:pPr>
        <w:pStyle w:val="style0"/>
        <w:ind w:firstLine="2552" w:left="0" w:right="18"/>
        <w:jc w:val="both"/>
      </w:pPr>
      <w:r>
        <w:rPr>
          <w:rFonts w:ascii="Verdana" w:cs="Tahoma" w:hAnsi="Verdana"/>
        </w:rPr>
      </w:r>
    </w:p>
    <w:p>
      <w:pPr>
        <w:pStyle w:val="style0"/>
        <w:ind w:firstLine="2552" w:left="0" w:right="18"/>
        <w:jc w:val="both"/>
      </w:pPr>
      <w:r>
        <w:rPr>
          <w:rFonts w:ascii="Verdana" w:cs="Tahoma" w:hAnsi="Verdana"/>
        </w:rPr>
        <w:t>Art. 2º Em observância ao disposto no inc. IV do art. 7º e § 3º do art. 39 da Constituição Federal, fica concedido reajuste na forma de abono a ser pago e incorporado a partir de janeiro de 2015, aos servidores efetivos do Poder Legislativo que se enquadrarem no anexo I desta lei, cujo vencimento-base não atinja o valor do salário mínimo vigente uma vez aplicado o percentual fixado pelo artigo anterior.</w:t>
      </w:r>
    </w:p>
    <w:p>
      <w:pPr>
        <w:pStyle w:val="style0"/>
        <w:ind w:firstLine="2552" w:left="0" w:right="18"/>
        <w:jc w:val="both"/>
      </w:pPr>
      <w:r>
        <w:rPr>
          <w:rFonts w:ascii="Verdana" w:cs="Tahoma" w:hAnsi="Verdana"/>
        </w:rPr>
        <w:t>Parágrafo único: O previsto no caput deste artigo alcança, ainda, os demais servidores do Poder Legislativo Municipal cujo vencimento-base não atinja o valor do salário mínimo vigente uma vez aplicado o percentual fixado no art. 1º desta lei.</w:t>
      </w:r>
    </w:p>
    <w:p>
      <w:pPr>
        <w:pStyle w:val="style0"/>
        <w:ind w:firstLine="2552" w:left="0" w:right="18"/>
        <w:jc w:val="both"/>
      </w:pPr>
      <w:r>
        <w:rPr>
          <w:rFonts w:ascii="Verdana" w:cs="Tahoma" w:hAnsi="Verdana"/>
        </w:rPr>
      </w:r>
    </w:p>
    <w:p>
      <w:pPr>
        <w:pStyle w:val="style0"/>
        <w:ind w:firstLine="2552" w:left="0" w:right="18"/>
        <w:jc w:val="both"/>
      </w:pPr>
      <w:r>
        <w:rPr>
          <w:rFonts w:ascii="Verdana" w:cs="Tahoma" w:hAnsi="Verdana"/>
        </w:rPr>
        <w:t xml:space="preserve">Art. 3º As despesas decorrentes da aplicação desta lei correrão à conta de dotações próprias do orçamento da </w:t>
      </w:r>
    </w:p>
    <w:p>
      <w:pPr>
        <w:pStyle w:val="style0"/>
        <w:ind w:hanging="0" w:left="0" w:right="18"/>
        <w:jc w:val="both"/>
      </w:pPr>
      <w:r>
        <w:rPr/>
        <w:drawing>
          <wp:inline distB="0" distL="0" distR="0" distT="0">
            <wp:extent cx="5400040" cy="1076325"/>
            <wp:effectExtent b="0" l="0" r="0" t="0"/>
            <wp:docPr descr="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firstLine="2552" w:left="0" w:right="18"/>
        <w:jc w:val="both"/>
      </w:pPr>
      <w:r>
        <w:rPr>
          <w:rFonts w:ascii="Verdana" w:cs="Tahoma" w:hAnsi="Verdana"/>
        </w:rPr>
      </w:r>
    </w:p>
    <w:p>
      <w:pPr>
        <w:pStyle w:val="style0"/>
        <w:ind w:hanging="0" w:left="0" w:right="18"/>
        <w:jc w:val="both"/>
      </w:pPr>
      <w:r>
        <w:rPr>
          <w:rFonts w:ascii="Verdana" w:cs="Tahoma" w:hAnsi="Verdana"/>
        </w:rPr>
        <w:t>Câmara Municipal de Sete Lagoas.</w:t>
      </w:r>
    </w:p>
    <w:p>
      <w:pPr>
        <w:pStyle w:val="style0"/>
        <w:ind w:firstLine="2552" w:left="0" w:right="18"/>
        <w:jc w:val="both"/>
      </w:pPr>
      <w:r>
        <w:rPr>
          <w:rFonts w:ascii="Verdana" w:cs="Tahoma" w:hAnsi="Verdana"/>
        </w:rPr>
      </w:r>
    </w:p>
    <w:p>
      <w:pPr>
        <w:pStyle w:val="style0"/>
        <w:ind w:firstLine="2552" w:left="0" w:right="18"/>
        <w:jc w:val="both"/>
      </w:pPr>
      <w:r>
        <w:rPr>
          <w:rFonts w:ascii="Verdana" w:cs="Tahoma" w:hAnsi="Verdana"/>
        </w:rPr>
        <w:t>Art. 4º Esta lei entra em vigor na data de sua publicação, ficando o Poder Legislativo autorizado a aplicar a presente lei a partir de 1º de janeiro de 2015.</w:t>
      </w:r>
    </w:p>
    <w:p>
      <w:pPr>
        <w:pStyle w:val="style0"/>
        <w:ind w:firstLine="2552" w:left="0" w:right="18"/>
        <w:jc w:val="both"/>
      </w:pPr>
      <w:r>
        <w:rPr>
          <w:rFonts w:ascii="Verdana" w:cs="Tahoma" w:hAnsi="Verdana"/>
        </w:rPr>
      </w:r>
    </w:p>
    <w:p>
      <w:pPr>
        <w:pStyle w:val="style0"/>
        <w:ind w:firstLine="2552" w:left="0" w:right="18"/>
        <w:jc w:val="both"/>
      </w:pPr>
      <w:r>
        <w:rPr>
          <w:rFonts w:ascii="Verdana" w:cs="Tahoma" w:hAnsi="Verdana"/>
        </w:rPr>
      </w:r>
    </w:p>
    <w:p>
      <w:pPr>
        <w:pStyle w:val="style0"/>
        <w:ind w:hanging="0" w:left="0" w:right="18"/>
        <w:jc w:val="both"/>
      </w:pPr>
      <w:r>
        <w:rPr>
          <w:rFonts w:ascii="Verdana" w:cs="Tahoma" w:hAnsi="Verdana"/>
        </w:rPr>
        <w:t xml:space="preserve">                     </w:t>
      </w:r>
      <w:r>
        <w:rPr>
          <w:rFonts w:ascii="Verdana" w:cs="Tahoma" w:hAnsi="Verdana"/>
        </w:rPr>
        <w:t>Sala das Sessões, 02 de março de 2015.</w:t>
      </w:r>
    </w:p>
    <w:p>
      <w:pPr>
        <w:pStyle w:val="style0"/>
        <w:ind w:firstLine="2552" w:left="0" w:right="18"/>
        <w:jc w:val="both"/>
      </w:pPr>
      <w:r>
        <w:rPr>
          <w:rFonts w:ascii="Verdana" w:cs="Tahoma" w:hAnsi="Verdana"/>
        </w:rPr>
      </w:r>
    </w:p>
    <w:p>
      <w:pPr>
        <w:pStyle w:val="style0"/>
        <w:ind w:firstLine="2552" w:left="0" w:right="18"/>
        <w:jc w:val="both"/>
      </w:pPr>
      <w:r>
        <w:rPr>
          <w:rFonts w:cs="Tahoma"/>
        </w:rPr>
      </w:r>
    </w:p>
    <w:p>
      <w:pPr>
        <w:pStyle w:val="style24"/>
        <w:ind w:firstLine="2124" w:left="0" w:right="0"/>
      </w:pPr>
      <w:r>
        <w:rPr>
          <w:rFonts w:ascii="Verdana" w:hAnsi="Verdana"/>
          <w:sz w:val="24"/>
          <w:szCs w:val="24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bCs/>
          <w:sz w:val="24"/>
          <w:szCs w:val="24"/>
        </w:rPr>
        <w:t>Fabrício Augusto Carvalho do Nascimento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4"/>
          <w:szCs w:val="24"/>
        </w:rPr>
        <w:t xml:space="preserve">Presidente 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4"/>
          <w:szCs w:val="24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4"/>
          <w:szCs w:val="24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4"/>
          <w:szCs w:val="24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bCs/>
          <w:sz w:val="24"/>
          <w:szCs w:val="24"/>
        </w:rPr>
        <w:t>Milton Maurício Martins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4"/>
          <w:szCs w:val="24"/>
        </w:rPr>
        <w:t>1º Vice Presidente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4"/>
          <w:szCs w:val="24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4"/>
          <w:szCs w:val="24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bCs/>
          <w:sz w:val="24"/>
          <w:szCs w:val="24"/>
        </w:rPr>
        <w:t>Décio Márcio Majela Abreu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4"/>
          <w:szCs w:val="24"/>
        </w:rPr>
        <w:t>2º Vice Presidente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4"/>
          <w:szCs w:val="24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4"/>
          <w:szCs w:val="24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4"/>
          <w:szCs w:val="24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bCs/>
          <w:sz w:val="24"/>
          <w:szCs w:val="24"/>
        </w:rPr>
        <w:t>Cláudio Henrique Nacif Gonçalves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4"/>
          <w:szCs w:val="24"/>
        </w:rPr>
        <w:t>1º Secretário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4"/>
          <w:szCs w:val="24"/>
        </w:rPr>
      </w:r>
    </w:p>
    <w:p>
      <w:pPr>
        <w:pStyle w:val="style24"/>
        <w:ind w:hanging="0" w:left="0" w:right="0"/>
      </w:pPr>
      <w:r>
        <w:rPr>
          <w:rFonts w:ascii="Verdana" w:hAnsi="Verdana"/>
          <w:sz w:val="24"/>
          <w:szCs w:val="24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bCs/>
          <w:sz w:val="24"/>
          <w:szCs w:val="24"/>
        </w:rPr>
        <w:t>Gilberto Pereira da Silva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4"/>
          <w:szCs w:val="24"/>
        </w:rPr>
        <w:t>2º Secretário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Verdana" w:hAnsi="Verdana"/>
          <w:u w:val="single"/>
        </w:rPr>
      </w:r>
    </w:p>
    <w:p>
      <w:pPr>
        <w:pStyle w:val="style0"/>
      </w:pPr>
      <w:r>
        <w:rPr>
          <w:rFonts w:ascii="Verdana" w:hAnsi="Verdana"/>
          <w:u w:val="single"/>
        </w:rPr>
      </w:r>
    </w:p>
    <w:p>
      <w:pPr>
        <w:pStyle w:val="style0"/>
      </w:pPr>
      <w:r>
        <w:rPr>
          <w:rFonts w:ascii="Verdana" w:hAnsi="Verdana"/>
          <w:u w:val="single"/>
        </w:rPr>
      </w:r>
    </w:p>
    <w:p>
      <w:pPr>
        <w:pStyle w:val="style0"/>
      </w:pPr>
      <w:r>
        <w:rPr>
          <w:rFonts w:ascii="Verdana" w:hAnsi="Verdana"/>
          <w:u w:val="single"/>
        </w:rPr>
      </w:r>
    </w:p>
    <w:p>
      <w:pPr>
        <w:pStyle w:val="style0"/>
      </w:pPr>
      <w:r>
        <w:rPr>
          <w:rFonts w:ascii="Verdana" w:hAnsi="Verdana"/>
          <w:u w:val="single"/>
        </w:rPr>
      </w:r>
    </w:p>
    <w:p>
      <w:pPr>
        <w:pStyle w:val="style0"/>
      </w:pPr>
      <w:r>
        <w:rPr>
          <w:rFonts w:ascii="Verdana" w:hAnsi="Verdana"/>
          <w:u w:val="single"/>
        </w:rPr>
      </w:r>
    </w:p>
    <w:p>
      <w:pPr>
        <w:pStyle w:val="style0"/>
      </w:pPr>
      <w:r>
        <w:rPr>
          <w:rFonts w:ascii="Verdana" w:hAnsi="Verdana"/>
          <w:u w:val="single"/>
        </w:rPr>
      </w:r>
    </w:p>
    <w:p>
      <w:pPr>
        <w:pStyle w:val="style0"/>
      </w:pPr>
      <w:r>
        <w:rPr>
          <w:rFonts w:ascii="Verdana" w:hAnsi="Verdana"/>
          <w:u w:val="single"/>
        </w:rPr>
      </w:r>
    </w:p>
    <w:p>
      <w:pPr>
        <w:pStyle w:val="style0"/>
      </w:pPr>
      <w:r>
        <w:rPr/>
        <w:drawing>
          <wp:inline distB="0" distL="0" distR="0" distT="0">
            <wp:extent cx="5400040" cy="1076325"/>
            <wp:effectExtent b="0" l="0" r="0" t="0"/>
            <wp:docPr descr="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</w:pPr>
      <w:r>
        <w:rPr>
          <w:rFonts w:ascii="Verdana" w:hAnsi="Verdana"/>
          <w:u w:val="single"/>
        </w:rPr>
      </w:r>
    </w:p>
    <w:p>
      <w:pPr>
        <w:pStyle w:val="style0"/>
      </w:pPr>
      <w:r>
        <w:rPr>
          <w:rFonts w:ascii="Verdana" w:hAnsi="Verdana"/>
          <w:u w:val="single"/>
        </w:rPr>
        <w:t>JUSTIFICATIVA</w:t>
      </w:r>
    </w:p>
    <w:p>
      <w:pPr>
        <w:pStyle w:val="style0"/>
        <w:jc w:val="both"/>
      </w:pPr>
      <w:r>
        <w:rPr>
          <w:rFonts w:ascii="Verdana" w:hAnsi="Verdana"/>
          <w:u w:val="single"/>
        </w:rPr>
      </w:r>
    </w:p>
    <w:p>
      <w:pPr>
        <w:pStyle w:val="style0"/>
        <w:jc w:val="both"/>
      </w:pPr>
      <w:r>
        <w:rPr>
          <w:rFonts w:ascii="Verdana" w:hAnsi="Verdana"/>
          <w:u w:val="single"/>
        </w:rPr>
      </w:r>
    </w:p>
    <w:p>
      <w:pPr>
        <w:pStyle w:val="style0"/>
        <w:ind w:firstLine="2268" w:left="0" w:right="0"/>
        <w:jc w:val="both"/>
      </w:pPr>
      <w:r>
        <w:rPr>
          <w:rFonts w:ascii="Verdana" w:hAnsi="Verdana"/>
        </w:rPr>
        <w:t>A presente proposição se faz necessária tendo em vista que a revisão anual dos vencimento dos servidores e dos subsídios dos Vereadores são asseguradas pelo art. 37, X da Constituição Federal e pelo art. 2º da Lei Municipal nº 8.179, de 11 de julho de 2012, alterada pela Lei nº 8.324, de 10 de março de 2014.</w:t>
      </w:r>
    </w:p>
    <w:p>
      <w:pPr>
        <w:pStyle w:val="style0"/>
        <w:ind w:firstLine="2268" w:left="0" w:right="0"/>
        <w:jc w:val="both"/>
      </w:pPr>
      <w:r>
        <w:rPr>
          <w:rFonts w:ascii="Verdana" w:hAnsi="Verdana"/>
        </w:rPr>
        <w:t xml:space="preserve">Ressalte-se que a proposição propõe também a concessão de um reajuste na forma de abono àqueles servidores do Poder Legislativo que, uma vez aplicado o índice de revisão no percentual de 6,41%, tiverem o valor de seu vencimento-base inferior ao salário mínimo estabelecido para o ano de 2015 (R$788,00). </w:t>
      </w:r>
    </w:p>
    <w:p>
      <w:pPr>
        <w:pStyle w:val="style0"/>
        <w:ind w:firstLine="2268" w:left="0" w:right="0"/>
        <w:jc w:val="both"/>
      </w:pPr>
      <w:r>
        <w:rPr>
          <w:rFonts w:ascii="Verdana" w:hAnsi="Verdana"/>
        </w:rPr>
        <w:t>Tal revisão deve ser feita sempre no mês de janeiro, utilizando-se o Índice Nacional de Preços ao Consumidor – IPCA acumulado do exercício anterior que é de 6,41%, incidente sobre o vencimento-base e o subsídio de dezembro de 2014.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Times New Roman" w:cs="Times New Roman" w:eastAsia="Lucida Sans Unicode" w:hAnsi="Times New Roman"/>
      <w:color w:val="auto"/>
      <w:sz w:val="24"/>
      <w:szCs w:val="24"/>
      <w:lang w:bidi="ar-SA" w:eastAsia="zh-CN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eastAsia="Lucida Sans Unicode" w:hAnsi="Tahoma"/>
      <w:sz w:val="16"/>
      <w:szCs w:val="16"/>
      <w:lang w:eastAsia="zh-CN"/>
    </w:rPr>
  </w:style>
  <w:style w:styleId="style17" w:type="character">
    <w:name w:val="Recuo de corpo de texto Char"/>
    <w:basedOn w:val="style15"/>
    <w:next w:val="style17"/>
    <w:rPr>
      <w:rFonts w:ascii="Times New Roman" w:cs="Times New Roman" w:eastAsia="Times New Roman" w:hAnsi="Times New Roman"/>
      <w:sz w:val="32"/>
      <w:szCs w:val="20"/>
      <w:lang w:eastAsia="ar-SA"/>
    </w:rPr>
  </w:style>
  <w:style w:styleId="style18" w:type="paragraph">
    <w:name w:val="Título"/>
    <w:basedOn w:val="style0"/>
    <w:next w:val="style19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9" w:type="paragraph">
    <w:name w:val="Corpo do texto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Legenda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Mangal"/>
    </w:rPr>
  </w:style>
  <w:style w:styleId="style23" w:type="paragraph">
    <w:name w:val="Balloon Text"/>
    <w:basedOn w:val="style0"/>
    <w:next w:val="style23"/>
    <w:pPr/>
    <w:rPr>
      <w:rFonts w:ascii="Tahoma" w:cs="Tahoma" w:hAnsi="Tahoma"/>
      <w:sz w:val="16"/>
      <w:szCs w:val="16"/>
    </w:rPr>
  </w:style>
  <w:style w:styleId="style24" w:type="paragraph">
    <w:name w:val="Corpo de texto recuado"/>
    <w:basedOn w:val="style0"/>
    <w:next w:val="style24"/>
    <w:pPr>
      <w:widowControl/>
      <w:ind w:hanging="0" w:left="2124" w:right="0"/>
      <w:jc w:val="both"/>
    </w:pPr>
    <w:rPr>
      <w:rFonts w:eastAsia="Times New Roman"/>
      <w:sz w:val="32"/>
      <w:szCs w:val="20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2014-06-10T16:41:00.00Z</dcterms:created>
  <dc:creator>Usuario</dc:creator>
  <cp:lastModifiedBy>Usuario</cp:lastModifiedBy>
  <cp:lastPrinted>2015-03-17T13:39:20.75Z</cp:lastPrinted>
  <dcterms:modified xsi:type="dcterms:W3CDTF">2015-03-16T19:45:00.00Z</dcterms:modified>
  <cp:revision>16</cp:revision>
</cp:coreProperties>
</file>