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media/image3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815840" cy="86106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5840" cy="861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        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>PARECER REGIMENTAL (contrário)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JUSTIÇA-CLJ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</w:rPr>
        <w:t>Projeto de Lei nº 04/2015 que “Proíbe o consumo de alimentos geneticamente modificados em escolas públicas e dá outras providências”.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Ver.Dalton Antônio de Avelar Andrade.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u w:val="single"/>
        </w:rPr>
        <w:t>Relatório</w:t>
      </w:r>
      <w:r>
        <w:rPr>
          <w:rFonts w:ascii="Verdana" w:hAnsi="Verdana"/>
        </w:rPr>
        <w:t xml:space="preserve">  </w:t>
      </w:r>
    </w:p>
    <w:p>
      <w:pPr>
        <w:pStyle w:val="style0"/>
        <w:ind w:firstLine="1560" w:left="0" w:right="0"/>
        <w:jc w:val="both"/>
      </w:pPr>
      <w:r>
        <w:rPr/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       </w:t>
      </w:r>
      <w:r>
        <w:rPr>
          <w:rFonts w:ascii="Verdana" w:hAnsi="Verdana"/>
        </w:rPr>
        <w:t>A proposição ora apreciada, subscrita por membro deste Colegiado, estabelece proibição para o consumo de alimentos geneticamente modificados (transgênicos) nas escolas da rede pública municipal de ensino de Sete Lagoas, bem como sua utilização na merenda escolar.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      </w:t>
      </w:r>
      <w:r>
        <w:rPr>
          <w:rFonts w:ascii="Verdana" w:hAnsi="Verdana"/>
        </w:rPr>
        <w:t>O projeto foi distribuído nesta data a esta Comissão para receber parecer quanto a sua constitucionalidade, legalidade e juridicidade, nos termos do Regimento Interno desta Casa.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</w:rPr>
        <w:t xml:space="preserve">                         </w:t>
      </w:r>
      <w:r>
        <w:rPr>
          <w:rFonts w:ascii="Verdana" w:cs="DejaVu Sans" w:hAnsi="Verdana"/>
        </w:rPr>
        <w:t>Presentes à reunião o Vereador Marcelo Pires Rodrigues (presidente), o Vereador Dalton Antônio de Avelar Andrade (relator) que absteve-se de votar e relatar a matéria por ser o autor da mesma, e o Vereador Euro de Andrade Lanza que assumiu a relatoria dos trabalhos, além do Procurador Geral do Legislativo, o Consultor Jurídico, 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1560" w:left="0" w:right="0"/>
        <w:jc w:val="both"/>
      </w:pPr>
      <w:r>
        <w:rPr/>
        <w:t xml:space="preserve">            </w:t>
      </w:r>
    </w:p>
    <w:p>
      <w:pPr>
        <w:pStyle w:val="style0"/>
        <w:ind w:firstLine="1843" w:left="0" w:right="0"/>
        <w:jc w:val="both"/>
      </w:pP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t>Fundamentação</w:t>
      </w:r>
    </w:p>
    <w:p>
      <w:pPr>
        <w:pStyle w:val="style0"/>
        <w:ind w:firstLine="1560" w:left="0" w:right="0"/>
        <w:jc w:val="both"/>
      </w:pPr>
      <w:r>
        <w:rPr>
          <w:u w:val="single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</w:t>
      </w:r>
      <w:r>
        <w:rPr>
          <w:rFonts w:ascii="Verdana" w:hAnsi="Verdana"/>
        </w:rPr>
        <w:t>A Constituição Federal, no art. 225,  §1º, incisos II e V, define a questão do uso de organismos geneticamente modificados como sendo matéria de proteção e preservação do meio ambiente, quando estabelece que:</w:t>
      </w:r>
    </w:p>
    <w:p>
      <w:pPr>
        <w:pStyle w:val="style0"/>
        <w:jc w:val="both"/>
      </w:pPr>
      <w:r>
        <w:rPr>
          <w:rFonts w:ascii="Verdana" w:hAnsi="Verdana"/>
        </w:rPr>
        <w:t xml:space="preserve"> </w:t>
      </w:r>
    </w:p>
    <w:p>
      <w:pPr>
        <w:pStyle w:val="style0"/>
        <w:jc w:val="both"/>
      </w:pPr>
      <w:r>
        <w:rPr>
          <w:rFonts w:ascii="Calibri" w:hAnsi="Calibri"/>
        </w:rPr>
        <w:t xml:space="preserve">                        “</w:t>
      </w:r>
      <w:r>
        <w:rPr>
          <w:rFonts w:ascii="Calibri" w:hAnsi="Calibri"/>
        </w:rPr>
        <w:t xml:space="preserve">Art. 225. Todos têm direito ao meio ambiente ecologicamente </w:t>
      </w:r>
    </w:p>
    <w:p>
      <w:pPr>
        <w:pStyle w:val="style0"/>
        <w:jc w:val="both"/>
      </w:pPr>
      <w:r>
        <w:rPr>
          <w:drawing>
            <wp:inline distB="0" distL="0" distR="0" distT="0">
              <wp:extent cx="4815840" cy="86106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5840" cy="861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Calibri" w:hAnsi="Calibri"/>
        </w:rPr>
      </w:r>
    </w:p>
    <w:p>
      <w:pPr>
        <w:pStyle w:val="style0"/>
        <w:jc w:val="both"/>
      </w:pPr>
      <w:r>
        <w:rPr>
          <w:rFonts w:ascii="Calibri" w:hAnsi="Calibri"/>
        </w:rPr>
        <w:t>equilibrado, bem de uso comum do povo e essencial à sadia qualidade de vida, impondo-se ao poder público e à coletividade o dever de defendê-lo e preservá-lo para as presentes e futuras gerações.</w:t>
      </w:r>
    </w:p>
    <w:p>
      <w:pPr>
        <w:pStyle w:val="style0"/>
        <w:jc w:val="both"/>
      </w:pPr>
      <w:r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>§ 1º (...)</w:t>
      </w:r>
    </w:p>
    <w:p>
      <w:pPr>
        <w:pStyle w:val="style0"/>
        <w:jc w:val="both"/>
      </w:pPr>
      <w:r>
        <w:rPr>
          <w:rFonts w:ascii="Calibri" w:hAnsi="Calibri"/>
        </w:rPr>
        <w:t xml:space="preserve">                          </w:t>
      </w:r>
      <w:r>
        <w:rPr>
          <w:rFonts w:ascii="Calibri" w:hAnsi="Calibri"/>
        </w:rPr>
        <w:t>II-preservar a diversidade e a integridade do patrimônio genético do País e fiscalizar as entidades dedicadas à pesquisa e manipulação de material genético;</w:t>
      </w:r>
    </w:p>
    <w:p>
      <w:pPr>
        <w:pStyle w:val="style0"/>
        <w:jc w:val="both"/>
      </w:pPr>
      <w:r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>(...)</w:t>
      </w:r>
    </w:p>
    <w:p>
      <w:pPr>
        <w:pStyle w:val="style0"/>
        <w:jc w:val="both"/>
      </w:pPr>
      <w:r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>V-controlar a produção, a comercialização e o emprego de técnicas, métodos e substâncias que comportem  risco para a vida, a qualidade de vida e o meio ambiente;”</w:t>
      </w:r>
    </w:p>
    <w:p>
      <w:pPr>
        <w:pStyle w:val="style0"/>
        <w:jc w:val="both"/>
      </w:pPr>
      <w:r>
        <w:rPr>
          <w:rFonts w:ascii="Calibri" w:hAnsi="Calibri"/>
        </w:rPr>
      </w:r>
    </w:p>
    <w:p>
      <w:pPr>
        <w:pStyle w:val="style0"/>
        <w:jc w:val="both"/>
      </w:pPr>
      <w:r>
        <w:rPr>
          <w:rFonts w:ascii="Calibri" w:hAnsi="Calibri"/>
        </w:rPr>
        <w:t xml:space="preserve">     </w:t>
      </w:r>
      <w:r>
        <w:rPr>
          <w:rFonts w:ascii="Verdana" w:hAnsi="Verdana"/>
        </w:rPr>
        <w:t xml:space="preserve">                   </w:t>
      </w:r>
      <w:r>
        <w:rPr>
          <w:rFonts w:ascii="Verdana" w:hAnsi="Verdana"/>
        </w:rPr>
        <w:t>Por outro lado, o consumo de organismos geneticamente modificados é tema afeto à saúde pública, na medida em que os efeitos de sua utilização podem trazer consequências danosas à integridade física da população. O inciso II do art. 23 da Carta Magna determina que a União, os Estados, Distrito Federal e os Municípios possuem competência comum para cuidar da saúde e assistência pública e o art. 24, incisos V e XII prevêem a competência concorrente da União, Estados e Distrito Federal para legislar, respectivamente, sobre a produção, consumo, proteção e defesa da saúde.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</w:t>
      </w:r>
      <w:r>
        <w:rPr>
          <w:rFonts w:ascii="Verdana" w:hAnsi="Verdana"/>
        </w:rPr>
        <w:t>Portanto, é cediço que cabe à União estabelecer normas gerais sobre a matéria, como o fez efetivamente por meio da Lei Federal nº 8.974, de 05 de janeiro de 1995 e suas alterações posteriores, não tendo vedado o uso de transgênicos. Sendo assim, o Município não poderá contrariar a Legislação Federal impondo obstáculos outros, além daqueles estabelecidos na legislação que define a Política Nacional de Biossegurança.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</w:t>
      </w:r>
      <w:r>
        <w:rPr>
          <w:rFonts w:ascii="Verdana" w:hAnsi="Verdana"/>
        </w:rPr>
        <w:t xml:space="preserve">No entanto, nada impede que o Município proíba a utilização de tais alimentos nos estabelecimentos de ensino oficiais do Município, dentro de uma Política Municipal de Merenda Escolar, de vez que possui autonomia administrativa para tomar tal decisão que é de sua exclusiva competência, o que, todavia, somente seria viável caso o projeto fosse de iniciativa do Poder Executivo, por força do disposto no art. 84, VI, da Constituição Federal.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</w:t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drawing>
            <wp:inline distB="0" distL="0" distR="0" distT="0">
              <wp:extent cx="4815840" cy="861060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5840" cy="861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ind w:firstLine="1985" w:left="0" w:right="0"/>
        <w:jc w:val="both"/>
      </w:pPr>
      <w:r>
        <w:rPr>
          <w:rFonts w:ascii="Verdana" w:hAnsi="Verdana"/>
          <w:u w:val="single"/>
        </w:rPr>
        <w:t>Conclusão</w:t>
      </w:r>
    </w:p>
    <w:p>
      <w:pPr>
        <w:pStyle w:val="style0"/>
        <w:ind w:firstLine="1800" w:left="0" w:right="0"/>
        <w:jc w:val="both"/>
      </w:pPr>
      <w:r>
        <w:rPr>
          <w:u w:val="single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</w:t>
      </w:r>
      <w:r>
        <w:rPr>
          <w:rFonts w:ascii="Verdana" w:cs="DejaVu Sans" w:hAnsi="Verdana"/>
        </w:rPr>
        <w:t>Em face do exposto, este relator conclui pela</w:t>
      </w:r>
      <w:r>
        <w:rPr>
          <w:rFonts w:ascii="Verdana" w:hAnsi="Verdana"/>
        </w:rPr>
        <w:t xml:space="preserve"> ilegalidade, inconstitucionalidade e injuridicidade do Projeto de Lei nº 04/2015.</w:t>
      </w:r>
    </w:p>
    <w:p>
      <w:pPr>
        <w:pStyle w:val="style0"/>
        <w:ind w:firstLine="2295" w:left="0" w:right="0"/>
        <w:jc w:val="both"/>
      </w:pPr>
      <w:r>
        <w:rPr/>
        <w:t xml:space="preserve">                                </w:t>
      </w:r>
    </w:p>
    <w:p>
      <w:pPr>
        <w:pStyle w:val="style0"/>
        <w:jc w:val="both"/>
      </w:pPr>
      <w:r>
        <w:rPr>
          <w:rFonts w:ascii="Verdana" w:cs="DejaVu Sans" w:hAnsi="Verdana"/>
          <w:sz w:val="22"/>
          <w:szCs w:val="22"/>
        </w:rPr>
        <w:t xml:space="preserve">                           </w:t>
      </w:r>
      <w:r>
        <w:rPr>
          <w:rFonts w:ascii="Verdana" w:cs="DejaVu Sans" w:hAnsi="Verdana"/>
        </w:rPr>
        <w:t>Sala das Reuniões, 05 de março de 2015.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</w:t>
      </w:r>
      <w:r>
        <w:rPr>
          <w:rFonts w:ascii="Verdana" w:cs="DejaVu Sans" w:hAnsi="Verdana"/>
        </w:rPr>
        <w:t>Euro de Andrade Lanza</w:t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</w:t>
      </w:r>
      <w:r>
        <w:rPr>
          <w:rFonts w:ascii="Verdana" w:cs="DejaVu Sans" w:hAnsi="Verdana"/>
        </w:rPr>
        <w:t>Relator-CLJ</w:t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</w:r>
    </w:p>
    <w:p>
      <w:pPr>
        <w:pStyle w:val="style0"/>
        <w:ind w:firstLine="2127" w:left="0" w:right="0"/>
      </w:pPr>
      <w:r>
        <w:rPr>
          <w:rFonts w:ascii="Verdana" w:cs="DejaVu Sans" w:hAnsi="Verdana"/>
        </w:rPr>
        <w:t xml:space="preserve">  </w:t>
      </w:r>
      <w:r>
        <w:rPr>
          <w:rFonts w:ascii="Verdana" w:cs="DejaVu Sans" w:hAnsi="Verdana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 relator.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]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2015-03-09T16:28:00.00Z</dcterms:created>
  <dc:creator>Usuario</dc:creator>
  <cp:lastModifiedBy>Usuario</cp:lastModifiedBy>
  <cp:lastPrinted>2015-03-09T17:28:00.00Z</cp:lastPrinted>
  <dcterms:modified xsi:type="dcterms:W3CDTF">2015-03-09T17:33:00.00Z</dcterms:modified>
  <cp:revision>4</cp:revision>
</cp:coreProperties>
</file>