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>
          <w:rFonts w:cs="Arial"/>
          <w:b/>
          <w:bCs/>
          <w:i w:val="false"/>
          <w:iCs w:val="false"/>
          <w:sz w:val="24"/>
          <w:szCs w:val="24"/>
        </w:rPr>
        <w:t>ANTE</w:t>
      </w:r>
      <w:r>
        <w:rPr>
          <w:rFonts w:cs="Arial"/>
          <w:b/>
          <w:bCs/>
          <w:i w:val="false"/>
          <w:iCs w:val="false"/>
          <w:sz w:val="24"/>
          <w:szCs w:val="24"/>
        </w:rPr>
        <w:t>PROJETO DE LEI______/2015</w: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tbl>
      <w:tblPr>
        <w:jc w:val="righ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5760"/>
      </w:tblGrid>
      <w:tr>
        <w:trPr>
          <w:cantSplit w:val="false"/>
        </w:trPr>
        <w:tc>
          <w:tcPr>
            <w:tcW w:type="dxa" w:w="5760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8"/>
              <w:spacing w:after="0" w:before="0"/>
              <w:contextualSpacing w:val="false"/>
              <w:jc w:val="both"/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Dispõe sobre o fornecimento de uniforme escolar para estudantes carentes do ensino fundamental da rede municipal de ensino, e dá outras providências.</w:t>
            </w:r>
          </w:p>
          <w:p>
            <w:pPr>
              <w:pStyle w:val="style58"/>
              <w:spacing w:after="0" w:before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42"/>
      </w:pPr>
      <w:r>
        <w:rPr/>
      </w:r>
    </w:p>
    <w:tbl>
      <w:tblPr>
        <w:jc w:val="left"/>
        <w:tblInd w:type="dxa" w:w="-36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8625"/>
      </w:tblGrid>
      <w:tr>
        <w:trPr>
          <w:cantSplit w:val="false"/>
        </w:trPr>
        <w:tc>
          <w:tcPr>
            <w:tcW w:type="dxa" w:w="8625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1º – Fica o Executivo Municipal, autorizado a fornecer anualmente, uniforme escolar às crianças de famílias que, comprovadamente, não possuam condições financeiras para sua aquisição.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Parágrafo Único - Para os efeitos desta lei, considera-se ausência de capacidade financeira a comprovação de desemprego dos pais ou responsáveis, ou do percebimento por estes de renda não superior a 2 (dois) salários mínimos.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2º - Poderão requerer o benefício desta lei, os pais ou responsáveis, cuja renda familiar seja inferior a 2 (dois) salários mínimos.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3º – O uniforme escolar a que trata o caput do art. 1º será composto de: 3 pares de meias, 2 camisetas, 1 conjunto de calça e casaco, 1 bermuda e 1 par de calçado padrão tênis.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Parágrafo Único - A administração pública em consonância com as escolas, deverá fixar o padrão a ser adotado para o uniforme escolar observando as seguintes características, entre outras: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a) Cores: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b) Modelo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c) Desenho detalhado de todas as peças que compõem o uniforme;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d) Tamanhos adequados às faixas etárias e tipos físicos;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e) Conforto;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f) Durabilidade;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g) Adaptação às condições climáticas;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h) Número mínimo de peças que compõem o enxoval escolar;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i) Normas e procedimentos para tecidos, modelagem e costura.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5º - A escolas municipais deverão adotar o uniforme padronizado exigindo seu uso diário.</w:t>
            </w:r>
            <w:r>
              <w:rPr>
                <w:sz w:val="24"/>
                <w:szCs w:val="24"/>
              </w:rPr>
              <w:br/>
              <w:br/>
            </w:r>
            <w:r>
              <w:rPr>
                <w:rFonts w:ascii="Times New Roman" w:hAnsi="Times New Roman"/>
                <w:sz w:val="24"/>
                <w:szCs w:val="24"/>
              </w:rPr>
              <w:t>Parágrafo Único - O estudante sem uniforme, com a devida justificativa dos pais ou responsáveis, poderá assistir normalmente às aulas, por período de tempo determinado, não podendo ser submetido a qualquer constrangimento em decorrência do fato.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6º – O fornecimento anual do uniforme escolar está condicionada à verificação do cumprimento do disposto no artigo 2º desta lei, à época da solicitação do benefício e da verificação da assiduidade do estudante.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Parágrafo Único - Na hipótese de desvio ou má utilização do material fornecido, o atendimento à solicitação poderá ser negado pela direção da escola.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7º - Fica expressamente proibido o uso de propaganda ou publicidade, de forma direta ou indireta, bem como logomarcas ou símbolos que identifiquem ou vinculem os materiais e uniformes escolares à gestão municipal, ou a partidos políticos.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8º - O Executivo Municipal regulamentará esta lei no prazo de 120 (cento e vinte) dias, a contar da sua publicação.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9º - As despesas decorrentes da execução desta lei correrão por conta de dotações orçamentárias próprias, suplementadas se necessário.</w:t>
            </w:r>
          </w:p>
          <w:p>
            <w:pPr>
              <w:pStyle w:val="style5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Art. 10º - Esta lei entrará em vigor na data de sua publicação, revogadas as disposições em contrário.</w:t>
            </w:r>
          </w:p>
          <w:p>
            <w:pPr>
              <w:pStyle w:val="style58"/>
              <w:jc w:val="both"/>
            </w:pPr>
            <w:r>
              <w:rPr/>
            </w:r>
          </w:p>
          <w:p>
            <w:pPr>
              <w:pStyle w:val="style5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Sala das sessões 13 de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fevereiro </w:t>
            </w:r>
            <w:r>
              <w:rPr>
                <w:rFonts w:ascii="Times New Roman" w:hAnsi="Times New Roman"/>
                <w:sz w:val="24"/>
                <w:szCs w:val="24"/>
              </w:rPr>
              <w:t>de 2015</w:t>
            </w:r>
          </w:p>
          <w:p>
            <w:pPr>
              <w:pStyle w:val="style58"/>
              <w:jc w:val="both"/>
            </w:pPr>
            <w:r>
              <w:rPr/>
            </w:r>
          </w:p>
          <w:p>
            <w:pPr>
              <w:pStyle w:val="style58"/>
              <w:jc w:val="both"/>
            </w:pPr>
            <w:r>
              <w:rPr/>
            </w:r>
          </w:p>
          <w:p>
            <w:pPr>
              <w:pStyle w:val="style58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MARCELO PIRES RODRIGUES</w:t>
            </w:r>
          </w:p>
          <w:p>
            <w:pPr>
              <w:pStyle w:val="style58"/>
              <w:spacing w:after="120" w:before="0"/>
              <w:contextualSpacing w:val="false"/>
              <w:jc w:val="center"/>
            </w:pPr>
            <w:bookmarkStart w:id="0" w:name="__DdeLink__47_2066949951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VEREADOR</w:t>
            </w:r>
          </w:p>
        </w:tc>
      </w:tr>
      <w:tr>
        <w:trPr>
          <w:cantSplit w:val="false"/>
        </w:trPr>
        <w:tc>
          <w:tcPr>
            <w:tcW w:type="dxa" w:w="8625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58"/>
              <w:spacing w:after="12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left"/>
      </w:pPr>
      <w:r>
        <w:rPr/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>JUSTIFICATIVA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A Educação universal, pública e de qualidade tem sido a aspiração praticamente unânime como ferramenta de justiça social e desenvolvimento sustentável.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Nossa cidade há muito vem reproduzindo esta visão de democratização da comunidade escolar e principalmente priorizando os investimentos em educação.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>A aprovação do projeto de lei que autoriza o município a fornecer material escolar às instituições de ensino do município foi um passo muito importante. Agora precisamos caminhar mais.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No quadro de estudantes da rede municipal de ensino, existem incontáveis casos de famílias que no início do ano letivo sofrem por terem dificuldades de adquirir o material escolar solicitado pelas escolas.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Por consequência, duplamente as crianças e adolescentes são penalizados: por um lado tem dificultado o seu desenvolvimento escolar, e por outro o constrangimento perante a classe, que notadamente mesmo dentro da esfera pública registram-se diferenças sociais.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Neste sentido, o presente Projeto de Lei busca aprimorar a intervenção estatal junto a rede municipal de educação, fornecendo aos(as) alunos(as) carentes o uniforme escolar necessário.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Desta forma além de justamente o Município distribuir renda, oferece as crianças e adolescentes carentes o patamar de igualdade dentro do ambiente escolar. </w:t>
      </w:r>
    </w:p>
    <w:p>
      <w:pPr>
        <w:pStyle w:val="style0"/>
        <w:spacing w:after="120" w:before="0"/>
        <w:contextualSpacing w:val="false"/>
        <w:jc w:val="both"/>
      </w:pPr>
      <w:r>
        <w:rPr>
          <w:rFonts w:ascii="Times New Roman" w:hAnsi="Times New Roman"/>
          <w:sz w:val="24"/>
          <w:szCs w:val="24"/>
        </w:rPr>
        <w:tab/>
        <w:t xml:space="preserve">Por estas razões, solicito o acolhimento pelos Nobres Pares, ao presente Projeto de Lei que dispões dobre o fornecimento de uniforme escolar a estudantes carentes da rede municipal de ensino. </w:t>
      </w:r>
    </w:p>
    <w:p>
      <w:pPr>
        <w:pStyle w:val="style0"/>
        <w:spacing w:after="120" w:before="0"/>
        <w:contextualSpacing w:val="false"/>
        <w:jc w:val="both"/>
      </w:pPr>
      <w:r>
        <w:rPr/>
      </w:r>
    </w:p>
    <w:p>
      <w:pPr>
        <w:pStyle w:val="style58"/>
        <w:jc w:val="center"/>
      </w:pPr>
      <w:r>
        <w:rPr>
          <w:rFonts w:ascii="Times New Roman" w:hAnsi="Times New Roman"/>
          <w:sz w:val="24"/>
          <w:szCs w:val="24"/>
        </w:rPr>
        <w:t xml:space="preserve">Sala das sessões 13 de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fevereiro </w:t>
      </w:r>
      <w:r>
        <w:rPr>
          <w:rFonts w:ascii="Times New Roman" w:hAnsi="Times New Roman"/>
          <w:sz w:val="24"/>
          <w:szCs w:val="24"/>
        </w:rPr>
        <w:t>de 2015</w:t>
      </w:r>
    </w:p>
    <w:p>
      <w:pPr>
        <w:pStyle w:val="style58"/>
        <w:jc w:val="both"/>
      </w:pPr>
      <w:r>
        <w:rPr/>
      </w:r>
    </w:p>
    <w:p>
      <w:pPr>
        <w:pStyle w:val="style58"/>
        <w:jc w:val="both"/>
      </w:pPr>
      <w:r>
        <w:rPr/>
      </w:r>
    </w:p>
    <w:p>
      <w:pPr>
        <w:pStyle w:val="style58"/>
        <w:jc w:val="center"/>
      </w:pPr>
      <w:r>
        <w:rPr>
          <w:rFonts w:ascii="Times New Roman" w:hAnsi="Times New Roman"/>
          <w:b/>
          <w:bCs/>
          <w:sz w:val="24"/>
          <w:szCs w:val="24"/>
        </w:rPr>
        <w:t>MARCELO PIRES RODRIGUES</w:t>
      </w:r>
    </w:p>
    <w:p>
      <w:pPr>
        <w:pStyle w:val="style58"/>
        <w:spacing w:after="120" w:before="0"/>
        <w:contextualSpacing w:val="false"/>
        <w:jc w:val="center"/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sectPr>
      <w:headerReference r:id="rId2" w:type="default"/>
      <w:footerReference r:id="rId3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57344" w:linePitch="4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5" simplePos="0">
          <wp:simplePos x="0" y="0"/>
          <wp:positionH relativeFrom="character">
            <wp:posOffset>-422910</wp:posOffset>
          </wp:positionH>
          <wp:positionV relativeFrom="line">
            <wp:posOffset>-431165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6"/>
    </w:pPr>
    <w:r>
      <w:rPr/>
      <w:drawing>
        <wp:anchor allowOverlap="1" behindDoc="1" distB="0" distL="0" distR="0" distT="0" layoutInCell="1" locked="0" relativeHeight="2" simplePos="0">
          <wp:simplePos x="0" y="0"/>
          <wp:positionH relativeFrom="character">
            <wp:posOffset>-822960</wp:posOffset>
          </wp:positionH>
          <wp:positionV relativeFrom="line">
            <wp:posOffset>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paragraph">
    <w:name w:val="Título"/>
    <w:basedOn w:val="style0"/>
    <w:next w:val="style42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2" w:type="paragraph">
    <w:name w:val="Corpo do texto"/>
    <w:basedOn w:val="style0"/>
    <w:next w:val="style42"/>
    <w:pPr>
      <w:spacing w:after="120" w:before="0"/>
      <w:contextualSpacing w:val="false"/>
    </w:pPr>
    <w:rPr/>
  </w:style>
  <w:style w:styleId="style43" w:type="paragraph">
    <w:name w:val="Lista"/>
    <w:basedOn w:val="style42"/>
    <w:next w:val="style43"/>
    <w:pPr/>
    <w:rPr>
      <w:rFonts w:cs="Mangal"/>
    </w:rPr>
  </w:style>
  <w:style w:styleId="style44" w:type="paragraph">
    <w:name w:val="Legenda"/>
    <w:basedOn w:val="style0"/>
    <w:next w:val="style4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5" w:type="paragraph">
    <w:name w:val="Índice"/>
    <w:basedOn w:val="style0"/>
    <w:next w:val="style45"/>
    <w:pPr>
      <w:suppressLineNumbers/>
    </w:pPr>
    <w:rPr>
      <w:rFonts w:cs="Mangal"/>
    </w:rPr>
  </w:style>
  <w:style w:styleId="style46" w:type="paragraph">
    <w:name w:val="Cabeçalho"/>
    <w:basedOn w:val="style0"/>
    <w:next w:val="style4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7" w:type="paragraph">
    <w:name w:val="Rodapé"/>
    <w:basedOn w:val="style0"/>
    <w:next w:val="style4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8" w:type="paragraph">
    <w:name w:val="caption"/>
    <w:basedOn w:val="style0"/>
    <w:next w:val="style48"/>
    <w:pPr>
      <w:spacing w:line="100" w:lineRule="atLeast"/>
    </w:pPr>
    <w:rPr>
      <w:b/>
      <w:bCs/>
      <w:smallCaps/>
      <w:color w:val="595959"/>
      <w:spacing w:val="6"/>
    </w:rPr>
  </w:style>
  <w:style w:styleId="style49" w:type="paragraph">
    <w:name w:val="Título principal"/>
    <w:basedOn w:val="style0"/>
    <w:next w:val="style49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0" w:type="paragraph">
    <w:name w:val="Subtítulo"/>
    <w:basedOn w:val="style0"/>
    <w:next w:val="style50"/>
    <w:pPr>
      <w:spacing w:line="100" w:lineRule="atLeast"/>
    </w:pPr>
    <w:rPr>
      <w:rFonts w:ascii="Calibri Light" w:cs="" w:hAnsi="Calibri Light"/>
      <w:sz w:val="24"/>
      <w:szCs w:val="24"/>
    </w:rPr>
  </w:style>
  <w:style w:styleId="style51" w:type="paragraph">
    <w:name w:val="No Spacing"/>
    <w:next w:val="style51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52" w:type="paragraph">
    <w:name w:val="Quote"/>
    <w:basedOn w:val="style0"/>
    <w:next w:val="style52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3" w:type="paragraph">
    <w:name w:val="Intense Quote"/>
    <w:basedOn w:val="style0"/>
    <w:next w:val="style53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4" w:type="paragraph">
    <w:name w:val="Título do sumário"/>
    <w:basedOn w:val="style1"/>
    <w:next w:val="style54"/>
    <w:pPr/>
    <w:rPr/>
  </w:style>
  <w:style w:styleId="style55" w:type="paragraph">
    <w:name w:val="Marcelo da Cooperseltta"/>
    <w:basedOn w:val="style0"/>
    <w:next w:val="style55"/>
    <w:pPr>
      <w:jc w:val="both"/>
    </w:pPr>
    <w:rPr>
      <w:rFonts w:ascii="Times New Roman" w:hAnsi="Times New Roman"/>
      <w:color w:val="0D0D0D"/>
      <w:sz w:val="24"/>
    </w:rPr>
  </w:style>
  <w:style w:styleId="style56" w:type="paragraph">
    <w:name w:val="WW-Padrão"/>
    <w:next w:val="style56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00000A"/>
      <w:sz w:val="24"/>
      <w:szCs w:val="24"/>
      <w:lang w:bidi="ar-SA" w:eastAsia="en-US" w:val="pt-BR"/>
    </w:rPr>
  </w:style>
  <w:style w:styleId="style57" w:type="paragraph">
    <w:name w:val="Estilo1"/>
    <w:basedOn w:val="style42"/>
    <w:next w:val="style57"/>
    <w:pPr/>
    <w:rPr>
      <w:rFonts w:ascii="Times New Roman" w:hAnsi="Times New Roman"/>
    </w:rPr>
  </w:style>
  <w:style w:styleId="style58" w:type="paragraph">
    <w:name w:val="Conteúdo da tabela"/>
    <w:basedOn w:val="style0"/>
    <w:next w:val="style58"/>
    <w:pPr/>
    <w:rPr/>
  </w:style>
  <w:style w:styleId="style59" w:type="paragraph">
    <w:name w:val="Título de tabela"/>
    <w:basedOn w:val="style58"/>
    <w:next w:val="style5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2014-12-16T19:54:00.00Z</dcterms:created>
  <dc:creator>Giovani</dc:creator>
  <cp:lastModifiedBy>Giovani</cp:lastModifiedBy>
  <cp:lastPrinted>2015-02-20T13:40:49.76Z</cp:lastPrinted>
  <dcterms:modified xsi:type="dcterms:W3CDTF">2014-12-16T20:37:00.00Z</dcterms:modified>
  <cp:revision>2</cp:revision>
</cp:coreProperties>
</file>