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5019675" cy="8858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Verdana" w:hAnsi="Verdana"/>
          <w:b/>
        </w:rPr>
      </w:r>
    </w:p>
    <w:p>
      <w:pPr>
        <w:pStyle w:val="style0"/>
        <w:jc w:val="center"/>
      </w:pPr>
      <w:r>
        <w:rPr>
          <w:rFonts w:ascii="Verdana" w:hAnsi="Verdana"/>
          <w:b/>
          <w:sz w:val="18"/>
          <w:szCs w:val="18"/>
        </w:rPr>
        <w:t>EMENDA MODIFICATIVA AO PROJETO DE LEI Nº 157/2014.</w:t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  <w:sz w:val="22"/>
          <w:szCs w:val="22"/>
        </w:rPr>
        <w:t>Dê-se a seguinte redação ao art. 1º do Projeto de Lei nº 157/2014:</w:t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</w:t>
      </w:r>
      <w:r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Art. 1º O parágrafo 2º da Lei nº 8.053 de 06 de setembro de 2011 que “Revoga o art. 128 da Lei nº 5.749 de 18 de dezembro de 1998 que regulamenta os serviços públicos de água e esgoto prestados pelo SAAE – Serviço Autônomo de Água, Esgoto e Saneamento Urbano”, passa a vigorar com a seguinte redação:</w:t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  <w:t xml:space="preserve">                            “</w:t>
      </w:r>
      <w:r>
        <w:rPr>
          <w:rFonts w:ascii="Verdana" w:hAnsi="Verdana"/>
          <w:sz w:val="22"/>
          <w:szCs w:val="22"/>
        </w:rPr>
        <w:t>Art. 1º (...)</w:t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  <w:t xml:space="preserve">                             </w:t>
      </w:r>
      <w:r>
        <w:rPr>
          <w:rFonts w:ascii="Verdana" w:hAnsi="Verdana"/>
          <w:sz w:val="22"/>
          <w:szCs w:val="22"/>
        </w:rPr>
        <w:br/>
        <w:t xml:space="preserve">                            (...)</w:t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  <w:t xml:space="preserve">                             </w:t>
      </w:r>
      <w:r>
        <w:rPr>
          <w:rFonts w:ascii="Verdana" w:hAnsi="Verdana"/>
          <w:sz w:val="22"/>
          <w:szCs w:val="22"/>
        </w:rPr>
        <w:t>§ 2º A prestação de contas de cada quadrimestre será grafada sucintamente no verso da cobrança da tarifa, e disponibilizada no endereço eletrônico oficial do SAAE de forma sucinta e analítica, em cada quadrimestre subsequente.</w:t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jc w:val="both"/>
      </w:pPr>
      <w:r>
        <w:rPr>
          <w:rFonts w:ascii="Verdana" w:hAnsi="Verdana"/>
          <w:sz w:val="22"/>
          <w:szCs w:val="22"/>
        </w:rPr>
        <w:t xml:space="preserve">                             </w:t>
      </w:r>
      <w:r>
        <w:rPr>
          <w:rFonts w:ascii="Verdana" w:hAnsi="Verdana"/>
          <w:sz w:val="22"/>
          <w:szCs w:val="22"/>
        </w:rPr>
        <w:t>(...)”</w:t>
      </w:r>
    </w:p>
    <w:p>
      <w:pPr>
        <w:pStyle w:val="style0"/>
        <w:jc w:val="both"/>
      </w:pPr>
      <w:r>
        <w:rPr>
          <w:rFonts w:ascii="Verdana" w:hAnsi="Verdana"/>
          <w:i/>
          <w:sz w:val="22"/>
          <w:szCs w:val="22"/>
        </w:rPr>
        <w:t xml:space="preserve">                               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Sala das Reuniões, 11 de dezembro de 2014.</w:t>
      </w:r>
    </w:p>
    <w:p>
      <w:pPr>
        <w:pStyle w:val="style0"/>
      </w:pPr>
      <w:r>
        <w:rPr>
          <w:rFonts w:ascii="Verdana" w:hAnsi="Verdana"/>
          <w:sz w:val="22"/>
          <w:szCs w:val="22"/>
        </w:rPr>
      </w:r>
    </w:p>
    <w:p>
      <w:pPr>
        <w:pStyle w:val="style0"/>
      </w:pPr>
      <w:r>
        <w:rPr>
          <w:rFonts w:ascii="Verdana" w:hAnsi="Verdana"/>
          <w:sz w:val="22"/>
          <w:szCs w:val="22"/>
        </w:rPr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Dalton Antônio de Avelar Andrade</w:t>
      </w:r>
    </w:p>
    <w:p>
      <w:pPr>
        <w:pStyle w:val="style0"/>
      </w:pPr>
      <w:r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>Relator – CLJ</w:t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2014-12-11T18:33:00.00Z</dcterms:created>
  <dc:creator>Usuario</dc:creator>
  <cp:lastModifiedBy>Usuario</cp:lastModifiedBy>
  <dcterms:modified xsi:type="dcterms:W3CDTF">2014-12-11T18:58:00.00Z</dcterms:modified>
  <cp:revision>2</cp:revision>
</cp:coreProperties>
</file>