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rFonts w:ascii="Verdana" w:hAnsi="Verdana"/>
        </w:rPr>
        <w:t xml:space="preserve">                                                             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>PARECER REGIMENTAL (conjunto)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JUSTIÇA-CLJ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FISCALIZAÇÃO FINANCEIRA E ORÇAMENTÁRIA E DE TOMADA DE CONTAS</w:t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</w:rPr>
        <w:t>Projeto de Lei nº 149/2014 que “Altera a Lei nº 8.377 de 24 de setembro de 2014 que “Autoriza o Poder Executivo a contratar operação de crédito junto ao Banco do Brasil S/A e dá outras providências correlatas”.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Poder Executivo Municipal.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u w:val="single"/>
        </w:rPr>
        <w:t>Relatório</w:t>
      </w:r>
      <w:r>
        <w:rPr>
          <w:rFonts w:ascii="Verdana" w:hAnsi="Verdana"/>
        </w:rPr>
        <w:t xml:space="preserve">  </w:t>
      </w:r>
    </w:p>
    <w:p>
      <w:pPr>
        <w:pStyle w:val="style0"/>
        <w:ind w:firstLine="1560" w:left="0" w:right="0"/>
        <w:jc w:val="both"/>
      </w:pPr>
      <w:r>
        <w:rPr/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        </w:t>
      </w:r>
      <w:r>
        <w:rPr>
          <w:rFonts w:ascii="Verdana" w:hAnsi="Verdana"/>
        </w:rPr>
        <w:t>A proposição ora apreciada, subscrita pelo Chefe do Poder Executivo Municipal, modifica a Lei Municipal nº 8.377/2014 que autorizou o Município de Sete Lagoas a contratar operação de crédito junto ao Banco do Brasil S/A, com o fito de viabilizar a complementação de contrapartidas municipais das obras do PAC-Água referentes à captação de água do Rio das Velhas e ampliação/melhorias do Sistema de Abastecimento de Água do Município de Sete Lagoas.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       </w:t>
      </w:r>
      <w:r>
        <w:rPr>
          <w:rFonts w:ascii="Verdana" w:hAnsi="Verdana"/>
        </w:rPr>
        <w:t>A modificação pretendida almeja garantir que o Município contrate tal operação de crédito com qualquer instituição bancária financeira, não somente com o Banco do Brasil conforme previsto na citada lei, o que poderá levar à obtenção de melhores condições de financiamento.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       </w:t>
      </w:r>
      <w:r>
        <w:rPr>
          <w:rFonts w:ascii="Verdana" w:hAnsi="Verdana"/>
        </w:rPr>
        <w:t>O projeto tramita em regime de urgência, tendo sido distribuído nesta data a estas Comissões para receber parecer quanto a sua constitucionalidade, legalidade e juridicidade, bem como sua adequação ao sistema orçamentário municipal, nos termos do Regimento Interno desta Casa.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 reunião os Vereadores integrantes da Comissão de Legislação e Justiça - CLJ, Comissão de Fiscalização Financeira, Orçamentária e de Tomada de Contas - CFFOTC, além do Procurador Geral do Legislativo, o Consultor Jurídico, assessores de Gabinetes e munícipes.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1560" w:left="0" w:right="0"/>
        <w:jc w:val="both"/>
      </w:pPr>
      <w:r>
        <w:rPr/>
        <w:t xml:space="preserve">           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ind w:firstLine="2268" w:left="0" w:right="0"/>
        <w:jc w:val="both"/>
      </w:pPr>
      <w:r>
        <w:rPr/>
      </w:r>
    </w:p>
    <w:p>
      <w:pPr>
        <w:pStyle w:val="style0"/>
        <w:ind w:firstLine="1843" w:left="0" w:right="0"/>
        <w:jc w:val="both"/>
      </w:pP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t>Fundamentação</w:t>
      </w:r>
    </w:p>
    <w:p>
      <w:pPr>
        <w:pStyle w:val="style0"/>
        <w:ind w:firstLine="1560" w:left="0" w:right="0"/>
        <w:jc w:val="both"/>
      </w:pPr>
      <w:r>
        <w:rPr/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      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</w:t>
      </w:r>
      <w:r>
        <w:rPr>
          <w:rFonts w:ascii="Verdana" w:hAnsi="Verdana"/>
        </w:rPr>
        <w:t>As obras do PAC-Água no Município de Sete Lagoas referem-se à captação de água do Rio das Velhas e ampliação/melhorias do Sistema de Abastecimento de Água do Município, decorrentes da celebração de dois contratos quais sejam: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</w:t>
      </w:r>
      <w:r>
        <w:rPr>
          <w:rFonts w:ascii="Verdana" w:hAnsi="Verdana"/>
        </w:rPr>
        <w:t>1-contrato CEF nº 0223.389-95/2007 no valor de R$30.000.000,00 (repasse do Governo Federal por meio do Ministério das Cidades com recursos do OGU);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</w:t>
      </w:r>
      <w:r>
        <w:rPr>
          <w:rFonts w:ascii="Verdana" w:hAnsi="Verdana"/>
        </w:rPr>
        <w:t>2-contrato BNDES nº 09.204048/2008 no valor de R$72.939.000,00 (financiamento autorizado pela Lei Municipal nº 7.492/07 alterada pela Lei nº 7.596/08)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</w:t>
      </w:r>
      <w:r>
        <w:rPr>
          <w:rFonts w:ascii="Verdana" w:hAnsi="Verdana"/>
        </w:rPr>
        <w:t xml:space="preserve">Em ambos os contratos celebrados nos anos de 2007 e 2008, o Município se comprometeu ao pagamento de contrapartidas atualmente orçadas em R$13.940.203,00, cuja quitação é necessária para que se possa receber a última parcela do financiamento BNDES destinada ao término da obra que encontra-se em fase de conclusão.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</w:t>
      </w:r>
      <w:r>
        <w:rPr>
          <w:rFonts w:ascii="Verdana" w:hAnsi="Verdana"/>
        </w:rPr>
        <w:t xml:space="preserve">O Município de Sete Lagoas objetiva aproveitar a abertura de uma linha de crédito do Governo Federal, via BNDES, para os Municípios que se encontram em débito relativo a contrapartidas em contratos do PAC-Água, em razão de dificuldades financeiras para arcar com a totalidade da contrapartida devida, o que inviabilizaria o término da obra no prazo contratutal estipulado.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</w:t>
      </w:r>
      <w:r>
        <w:rPr>
          <w:rFonts w:ascii="Verdana" w:hAnsi="Verdana"/>
        </w:rPr>
        <w:t xml:space="preserve">No entanto, quando da tramitação do projeto de lei que deu origem à Lei nº 8.377/2014, a equipe técnica do SAAE esteve presente na reunião conjunta destas Comissões, prestando informações a respeito da operação de crédito pretendida, esclarecendo que o financiamento estava praticamente garantido junto ao Banco do Brasil. Mencionada instituição financeira apresentou algumas condições para concretizar a operação com o Município de Sete Lagoas, dentre elas uma carência de dois anos para o início da amortização do débito. Com a possibilidade da saída do Banco do Brasil da operação, conforme proposto no projeto, e a possível entrada de instituição financeira diversa no processo, mudam-se as regras anteriormente conhecidas e aprovadas por esta Casa. Não se conhece qual a entidade que financiará as contrapartidas para o Município de Sete Lagoas, nem as condições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hAnsi="Verdana"/>
        </w:rPr>
        <w:t xml:space="preserve">de financiamento a serem assumidas pelos cofres municipais. </w:t>
      </w:r>
    </w:p>
    <w:p>
      <w:pPr>
        <w:pStyle w:val="style0"/>
        <w:ind w:firstLine="1843" w:left="0" w:right="0"/>
        <w:jc w:val="both"/>
      </w:pPr>
      <w:r>
        <w:rPr>
          <w:rFonts w:ascii="Verdana" w:hAnsi="Verdana"/>
        </w:rPr>
        <w:t>É competência da Câmara Municipal fiscalizar e controlar os atos do Poder Executivo, incluídos os atos da Administração indireta. Entendemos que aprovar o projeto de Lei tal como se acha concebido é negligenciar uma situação que é de todos sabida ou seja, o Município encontra-se em situação financeira difícil, atrasando inclusive folha de pagamento. Autorizar uma operação de crédito sem conhecer as bases de tal operação é deixar de exercer função fundamental do Poder Legislativo, prevista na Constituição Federal, que poderá agravar, ainda mais, a situação de comprometimento do orçamento público.  Por essa razão, propomos a emenda modificativa acoplada ao presente parecer, cujo objetivo é estabelecer que, tão logo seja concretizada a operação de crédito com a instituição financeira escolhida, o contrato administrativo dela resultante seja encaminhado para aprovação desta Casa Legislativa. Dessa forma, estaremos exercendo uma das funções básicas do Poder Legislativo que é fiscalizar, zelando pela responsabilidade fiscal do Município de Sete lagoas.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</w:t>
      </w:r>
      <w:r>
        <w:rPr>
          <w:rFonts w:ascii="Verdana" w:hAnsi="Verdana"/>
        </w:rPr>
        <w:t xml:space="preserve">Quanto ao Sistema Orçamentário Municipal, tem-se que o art. 8º da Lei nº 8.318/2013, Lei Orçamentária para 2014, autoriza o Município a contrair financiamentos com agências nacionais e internacionais de crédito, bem como a oferecer contragarantias necessárias ao cumprimento para a aplicação de investimentos direcionados ao saneamento e habitação de interesse popular.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</w:t>
      </w:r>
      <w:r>
        <w:rPr>
          <w:rFonts w:ascii="Verdana" w:hAnsi="Verdana"/>
        </w:rPr>
        <w:t>Também o Capítulo IX da Lei nº 8.279/2013, LDO para 2014, estabelece regras para operações de crédito solicitadas pelo Município, dentre elas a submissão às normas das Resoluções nºs 40 e 43 do Senado Federal a serem analisadas pela Secretaria do Tesouro Nacional – STN.</w:t>
      </w:r>
    </w:p>
    <w:p>
      <w:pPr>
        <w:pStyle w:val="style0"/>
        <w:tabs>
          <w:tab w:leader="none" w:pos="2805" w:val="left"/>
        </w:tabs>
        <w:jc w:val="both"/>
      </w:pPr>
      <w:r>
        <w:rPr>
          <w:rFonts w:ascii="Verdana" w:hAnsi="Verdana"/>
        </w:rPr>
        <w:t xml:space="preserve">                    </w:t>
      </w:r>
      <w:r>
        <w:rPr>
          <w:rFonts w:ascii="Verdana" w:hAnsi="Verdana"/>
        </w:rPr>
        <w:t xml:space="preserve">Portanto, é inegável o valor e a necessidade da obra relativa à captação de água do Rio das Velhas e ampliação/melhorias do Sistema de Abastecimento de Água do Município de Sete Lagoas. Mas é necessário também ter conhecimento amplo de que o Município terá condições de arcar com compromissos relativos à operação de crédito pretendida, sem comprometer suas metas fiscais, o que não está claro e devidamente informado na documentação que integra o projeto. </w:t>
      </w:r>
    </w:p>
    <w:p>
      <w:pPr>
        <w:pStyle w:val="style0"/>
        <w:tabs>
          <w:tab w:leader="none" w:pos="2805" w:val="left"/>
        </w:tabs>
        <w:jc w:val="both"/>
      </w:pPr>
      <w:r>
        <w:rPr/>
      </w:r>
    </w:p>
    <w:p>
      <w:pPr>
        <w:pStyle w:val="style0"/>
        <w:tabs>
          <w:tab w:leader="none" w:pos="2805" w:val="left"/>
        </w:tabs>
        <w:jc w:val="both"/>
      </w:pPr>
      <w:r>
        <w:rPr/>
      </w:r>
    </w:p>
    <w:p>
      <w:pPr>
        <w:pStyle w:val="style0"/>
        <w:tabs>
          <w:tab w:leader="none" w:pos="2805" w:val="left"/>
        </w:tabs>
        <w:jc w:val="both"/>
      </w:pPr>
      <w:r>
        <w:rPr>
          <w:rFonts w:ascii="Verdana" w:hAnsi="Verdana"/>
        </w:rPr>
        <w:t xml:space="preserve">                                           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</w:t>
      </w:r>
    </w:p>
    <w:p>
      <w:pPr>
        <w:pStyle w:val="style0"/>
        <w:ind w:firstLine="1985" w:left="0" w:right="0"/>
        <w:jc w:val="both"/>
      </w:pPr>
      <w:r>
        <w:rPr>
          <w:rFonts w:ascii="Verdana" w:hAnsi="Verdana"/>
          <w:u w:val="single"/>
        </w:rPr>
        <w:t>Conclusão</w:t>
      </w:r>
    </w:p>
    <w:p>
      <w:pPr>
        <w:pStyle w:val="style0"/>
        <w:ind w:firstLine="1800" w:left="0" w:right="0"/>
        <w:jc w:val="both"/>
      </w:pPr>
      <w:r>
        <w:rPr/>
      </w:r>
    </w:p>
    <w:p>
      <w:pPr>
        <w:pStyle w:val="style0"/>
        <w:ind w:firstLine="1843" w:left="0" w:right="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</w:t>
      </w:r>
      <w:r>
        <w:rPr>
          <w:rFonts w:ascii="Verdana" w:cs="DejaVu Sans" w:hAnsi="Verdana"/>
        </w:rPr>
        <w:t>Em face do exposto, estes relatores concluem pela</w:t>
      </w:r>
      <w:r>
        <w:rPr>
          <w:rFonts w:ascii="Verdana" w:hAnsi="Verdana"/>
        </w:rPr>
        <w:t xml:space="preserve"> legalidade, constitucionalidade e juridicidade do Projeto de Lei nº 149/2014, bem como pela sua adequação financeiro-orçamentária com a Emenda Modificativa acoplada ao presente parecer.</w:t>
      </w:r>
    </w:p>
    <w:p>
      <w:pPr>
        <w:pStyle w:val="style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  <w:t xml:space="preserve">                                </w:t>
      </w:r>
    </w:p>
    <w:p>
      <w:pPr>
        <w:pStyle w:val="style0"/>
        <w:jc w:val="both"/>
      </w:pPr>
      <w:r>
        <w:rPr>
          <w:rFonts w:ascii="Verdana" w:cs="DejaVu Sans" w:hAnsi="Verdana"/>
          <w:sz w:val="22"/>
          <w:szCs w:val="22"/>
        </w:rPr>
        <w:t xml:space="preserve">                           </w:t>
      </w:r>
      <w:r>
        <w:rPr>
          <w:rFonts w:ascii="Verdana" w:cs="DejaVu Sans" w:hAnsi="Verdana"/>
        </w:rPr>
        <w:t>Sala das Reuniões, 1º de dezembro de 2014.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</w:t>
      </w: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</w:t>
      </w:r>
      <w:r>
        <w:rPr>
          <w:rFonts w:ascii="Verdana" w:cs="DejaVu Sans" w:hAnsi="Verdana"/>
        </w:rPr>
        <w:t>Relator-CLJ</w:t>
      </w:r>
    </w:p>
    <w:p>
      <w:pPr>
        <w:pStyle w:val="style0"/>
        <w:ind w:firstLine="1843" w:left="0" w:right="0"/>
      </w:pPr>
      <w:r>
        <w:rPr/>
      </w:r>
    </w:p>
    <w:p>
      <w:pPr>
        <w:pStyle w:val="style0"/>
        <w:ind w:firstLine="1843" w:left="0" w:right="0"/>
      </w:pPr>
      <w:r>
        <w:rPr/>
      </w:r>
    </w:p>
    <w:p>
      <w:pPr>
        <w:pStyle w:val="style0"/>
        <w:ind w:firstLine="1843" w:left="0" w:right="0"/>
      </w:pPr>
      <w:r>
        <w:rPr/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</w:t>
      </w:r>
      <w:r>
        <w:rPr>
          <w:rFonts w:ascii="Verdana" w:cs="DejaVu Sans" w:hAnsi="Verdana"/>
        </w:rPr>
        <w:t>Joaquim Gonzaga Barbosa</w:t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</w:t>
      </w:r>
      <w:r>
        <w:rPr>
          <w:rFonts w:ascii="Verdana" w:cs="DejaVu Sans" w:hAnsi="Verdana"/>
        </w:rPr>
        <w:t>Relator-CFFOTC</w:t>
      </w:r>
    </w:p>
    <w:p>
      <w:pPr>
        <w:pStyle w:val="style0"/>
        <w:ind w:firstLine="46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  <w:t>V  O T O S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os relatores.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b/>
          <w:sz w:val="26"/>
          <w:szCs w:val="26"/>
        </w:rPr>
        <w:t>COMISSÃO DE LEGISLAÇÃO E JUSTIÇA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 xml:space="preserve">   </w:t>
      </w:r>
    </w:p>
    <w:p>
      <w:pPr>
        <w:pStyle w:val="style0"/>
      </w:pPr>
      <w:r>
        <w:rPr>
          <w:rFonts w:ascii="Verdana" w:cs="DejaVu Sans" w:hAnsi="Verdana"/>
          <w:sz w:val="26"/>
          <w:szCs w:val="26"/>
        </w:rPr>
        <w:t xml:space="preserve">                            </w:t>
      </w:r>
      <w:r>
        <w:rPr>
          <w:rFonts w:ascii="Verdana" w:cs="DejaVu Sans" w:hAnsi="Verdana"/>
          <w:sz w:val="26"/>
          <w:szCs w:val="26"/>
        </w:rPr>
        <w:t>Euro de Andrade Lanza</w:t>
      </w:r>
    </w:p>
    <w:p>
      <w:pPr>
        <w:pStyle w:val="style0"/>
      </w:pPr>
      <w:r>
        <w:rPr>
          <w:rFonts w:ascii="Verdana" w:cs="DejaVu Sans" w:hAnsi="Verdana"/>
          <w:b/>
          <w:bCs/>
        </w:rPr>
        <w:t xml:space="preserve">                               </w:t>
      </w:r>
      <w:r>
        <w:rPr>
          <w:rFonts w:ascii="Verdana" w:cs="DejaVu Sans" w:hAnsi="Verdana"/>
        </w:rPr>
        <w:t>Presidente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   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  <w:r>
        <w:rPr>
          <w:rFonts w:ascii="Verdana" w:cs="DejaVu Sans" w:hAnsi="Verdana"/>
        </w:rPr>
        <w:t>Vereador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hanging="2268" w:left="2268" w:right="0"/>
      </w:pPr>
      <w:r>
        <w:rPr/>
      </w:r>
    </w:p>
    <w:p>
      <w:pPr>
        <w:pStyle w:val="style0"/>
        <w:ind w:hanging="2268" w:left="2268" w:right="0"/>
      </w:pPr>
      <w:r>
        <w:rPr/>
      </w:r>
    </w:p>
    <w:p>
      <w:pPr>
        <w:pStyle w:val="style0"/>
        <w:ind w:hanging="2268" w:left="2268" w:right="0"/>
      </w:pPr>
      <w:r>
        <w:rPr/>
      </w:r>
    </w:p>
    <w:p>
      <w:pPr>
        <w:pStyle w:val="style0"/>
        <w:ind w:hanging="2268" w:left="2268" w:right="0"/>
      </w:pPr>
      <w:r>
        <w:rPr>
          <w:rFonts w:ascii="Verdana" w:hAnsi="Verdana"/>
          <w:b/>
        </w:rPr>
        <w:t>COMISSÃO DE FISCALIZAÇÃO FINANCEIRA E ORÇAMENTÁRIA E DE TOMADA DE CONTAS</w:t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552" w:left="0" w:right="0"/>
      </w:pPr>
      <w:r>
        <w:rPr>
          <w:rFonts w:ascii="Verdana" w:hAnsi="Verdana"/>
        </w:rPr>
        <w:t>Renato Gomes</w:t>
      </w:r>
    </w:p>
    <w:p>
      <w:pPr>
        <w:pStyle w:val="style0"/>
        <w:ind w:firstLine="2552" w:left="0" w:right="0"/>
      </w:pPr>
      <w:r>
        <w:rPr>
          <w:rFonts w:ascii="Verdana" w:hAnsi="Verdana"/>
        </w:rPr>
        <w:t>Presidente</w:t>
      </w:r>
    </w:p>
    <w:p>
      <w:pPr>
        <w:pStyle w:val="style0"/>
        <w:ind w:firstLine="2552" w:left="0" w:right="0"/>
      </w:pPr>
      <w:r>
        <w:rPr/>
      </w:r>
    </w:p>
    <w:p>
      <w:pPr>
        <w:pStyle w:val="style0"/>
        <w:ind w:firstLine="2552" w:left="0" w:right="0"/>
      </w:pPr>
      <w:r>
        <w:rPr/>
      </w:r>
    </w:p>
    <w:p>
      <w:pPr>
        <w:pStyle w:val="style0"/>
        <w:ind w:firstLine="2552" w:left="0" w:right="0"/>
      </w:pPr>
      <w:r>
        <w:rPr/>
      </w:r>
    </w:p>
    <w:p>
      <w:pPr>
        <w:pStyle w:val="style0"/>
        <w:ind w:firstLine="2552" w:left="0" w:right="0"/>
      </w:pPr>
      <w:r>
        <w:rPr>
          <w:rFonts w:ascii="Verdana" w:hAnsi="Verdana"/>
        </w:rPr>
        <w:t>Fabrício Augusto Carvalho do Nascimento</w:t>
      </w:r>
    </w:p>
    <w:p>
      <w:pPr>
        <w:pStyle w:val="style0"/>
        <w:ind w:firstLine="2552" w:left="0" w:right="0"/>
      </w:pPr>
      <w:r>
        <w:rPr>
          <w:rFonts w:ascii="Verdana" w:cs="DejaVu Sans" w:hAnsi="Verdana"/>
        </w:rPr>
        <w:t>Vereador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drawing>
          <wp:inline distB="0" distL="0" distR="0" distT="0">
            <wp:extent cx="5019675" cy="88582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Verdana" w:hAnsi="Verdana"/>
          <w:b/>
          <w:sz w:val="18"/>
          <w:szCs w:val="18"/>
        </w:rPr>
        <w:t>EMENDA MODIFICATIVA AO PROJETO DE LEI Nº 149/2014.</w:t>
      </w:r>
    </w:p>
    <w:p>
      <w:pPr>
        <w:pStyle w:val="style0"/>
        <w:ind w:firstLine="2520" w:left="0" w:right="0"/>
        <w:jc w:val="both"/>
      </w:pPr>
      <w:r>
        <w:rPr/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  <w:sz w:val="22"/>
          <w:szCs w:val="22"/>
        </w:rPr>
        <w:t>Dê-se a seguinte redação ao art. 2º do Projeto de Lei nº 149/2014:</w:t>
      </w:r>
    </w:p>
    <w:p>
      <w:pPr>
        <w:pStyle w:val="style0"/>
        <w:ind w:firstLine="2520" w:left="0" w:right="0"/>
        <w:jc w:val="both"/>
      </w:pPr>
      <w:r>
        <w:rPr/>
      </w:r>
    </w:p>
    <w:p>
      <w:pPr>
        <w:pStyle w:val="style0"/>
        <w:jc w:val="both"/>
      </w:pPr>
      <w:r>
        <w:rPr>
          <w:rFonts w:ascii="Verdana" w:hAnsi="Verdana"/>
          <w:i/>
          <w:sz w:val="22"/>
          <w:szCs w:val="22"/>
        </w:rPr>
        <w:t xml:space="preserve">                            “</w:t>
      </w:r>
      <w:r>
        <w:rPr>
          <w:rFonts w:ascii="Verdana" w:hAnsi="Verdana"/>
          <w:i/>
          <w:sz w:val="22"/>
          <w:szCs w:val="22"/>
        </w:rPr>
        <w:t>Art. 2º O art. 1º da Lei nº 8.377 de 24 de setembro de 2014 que “Autoriza o Poder Executivo a contratar operação de crédito junto ao Banco do Brasil S/A e dá outras providências correlatas” passa a vigorar com a seguinte redação: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i/>
          <w:sz w:val="22"/>
          <w:szCs w:val="22"/>
        </w:rPr>
        <w:t xml:space="preserve">                                         “ </w:t>
      </w:r>
      <w:r>
        <w:rPr>
          <w:rFonts w:ascii="Verdana" w:hAnsi="Verdana"/>
          <w:i/>
          <w:sz w:val="22"/>
          <w:szCs w:val="22"/>
        </w:rPr>
        <w:t xml:space="preserve">Art.1º Fica o Poder Executivo autorizado a contratar operações de crédito junto a uma instituição bancária/financeira, no valor de R$13.940.203,00 (treze milhões, novecentos e quarenta mil, duzentos e três reais) observado o disposto na legislação em vigor para contratação de operações de crédito.       </w:t>
      </w:r>
    </w:p>
    <w:p>
      <w:pPr>
        <w:pStyle w:val="style0"/>
        <w:jc w:val="both"/>
      </w:pPr>
      <w:r>
        <w:rPr>
          <w:rFonts w:ascii="Verdana" w:hAnsi="Verdana"/>
          <w:i/>
          <w:sz w:val="22"/>
          <w:szCs w:val="22"/>
        </w:rPr>
        <w:t xml:space="preserve">                             </w:t>
      </w:r>
      <w:r>
        <w:rPr>
          <w:rFonts w:ascii="Verdana" w:hAnsi="Verdana"/>
          <w:i/>
          <w:sz w:val="22"/>
          <w:szCs w:val="22"/>
        </w:rPr>
        <w:t>§1º - O contrato referente à operação de crédito autorizada nesta lei deverá ser referendado pelo Poder Legislativo, por meio de resolução.</w:t>
      </w:r>
    </w:p>
    <w:p>
      <w:pPr>
        <w:pStyle w:val="style0"/>
        <w:jc w:val="both"/>
      </w:pPr>
      <w:r>
        <w:rPr>
          <w:rFonts w:ascii="Verdana" w:hAnsi="Verdana"/>
          <w:i/>
          <w:sz w:val="22"/>
          <w:szCs w:val="22"/>
        </w:rPr>
        <w:t xml:space="preserve">                            </w:t>
      </w:r>
      <w:r>
        <w:rPr>
          <w:rFonts w:ascii="Verdana" w:hAnsi="Verdana"/>
          <w:i/>
          <w:sz w:val="22"/>
          <w:szCs w:val="22"/>
        </w:rPr>
        <w:t xml:space="preserve">§2º - Os recursos provenientes da operação de crédito autorizada no caput serão obrigatoriamente aplicados no financiamento de contrapartida das obras do PAC Água referentes aos contratos: </w:t>
      </w:r>
    </w:p>
    <w:p>
      <w:pPr>
        <w:pStyle w:val="style0"/>
        <w:jc w:val="both"/>
      </w:pPr>
      <w:r>
        <w:rPr>
          <w:rFonts w:ascii="Verdana" w:hAnsi="Verdana"/>
          <w:i/>
          <w:sz w:val="22"/>
          <w:szCs w:val="22"/>
        </w:rPr>
        <w:t xml:space="preserve">                            </w:t>
      </w:r>
      <w:r>
        <w:rPr>
          <w:rFonts w:ascii="Verdana" w:hAnsi="Verdana"/>
          <w:i/>
          <w:sz w:val="22"/>
          <w:szCs w:val="22"/>
        </w:rPr>
        <w:t>I-contrato CEF nº 0223.389-95/2007 – Ampliação e Melhorias no Sistema de Abastecimento de Água do Município de Sete Lagoas;</w:t>
      </w:r>
    </w:p>
    <w:p>
      <w:pPr>
        <w:pStyle w:val="style0"/>
        <w:jc w:val="both"/>
      </w:pPr>
      <w:r>
        <w:rPr>
          <w:rFonts w:ascii="Verdana" w:hAnsi="Verdana"/>
          <w:i/>
          <w:sz w:val="22"/>
          <w:szCs w:val="22"/>
        </w:rPr>
        <w:t xml:space="preserve">                           </w:t>
      </w:r>
      <w:r>
        <w:rPr>
          <w:rFonts w:ascii="Verdana" w:hAnsi="Verdana"/>
          <w:i/>
          <w:sz w:val="22"/>
          <w:szCs w:val="22"/>
        </w:rPr>
        <w:t>II-contrato BNDES nº 08.204048/2008 – captação de água do Rio das Velhas; todos constantes na matriz de responsabilidade celebrada entre a União, os Estados e os Municípios do Programa de Aceleração do Crescimento – PAC, vedada a aplicação de tais recursos em despesas correntes, em consonância com o § 1º do art. 35, da Lei Complementar nº 101, de 04 de maio de 2000”.</w:t>
      </w:r>
    </w:p>
    <w:p>
      <w:pPr>
        <w:pStyle w:val="style0"/>
        <w:jc w:val="both"/>
      </w:pPr>
      <w:r>
        <w:rPr>
          <w:rFonts w:ascii="Verdana" w:hAnsi="Verdana"/>
          <w:i/>
          <w:sz w:val="22"/>
          <w:szCs w:val="22"/>
        </w:rPr>
        <w:t xml:space="preserve">                               </w:t>
      </w:r>
    </w:p>
    <w:p>
      <w:pPr>
        <w:pStyle w:val="style0"/>
      </w:pPr>
      <w:r>
        <w:rPr>
          <w:rFonts w:ascii="Verdana" w:hAnsi="Verdana"/>
          <w:sz w:val="22"/>
          <w:szCs w:val="22"/>
        </w:rPr>
        <w:t xml:space="preserve">                            </w:t>
      </w:r>
    </w:p>
    <w:p>
      <w:pPr>
        <w:pStyle w:val="style0"/>
      </w:pPr>
      <w:r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>Sala das Reuniões, 1º de dezembro de 2014.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>Dalton Antônio de Avelar Andrade</w:t>
      </w:r>
    </w:p>
    <w:p>
      <w:pPr>
        <w:pStyle w:val="style0"/>
      </w:pPr>
      <w:r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>Relator – CLJ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hAnsi="Verdana"/>
        </w:rPr>
        <w:t xml:space="preserve">                            </w:t>
      </w:r>
      <w:r>
        <w:rPr>
          <w:rFonts w:ascii="Verdana" w:hAnsi="Verdana"/>
        </w:rPr>
        <w:t>Joaquim Gonzaga Barbosa</w:t>
      </w:r>
    </w:p>
    <w:p>
      <w:pPr>
        <w:pStyle w:val="style0"/>
      </w:pPr>
      <w:r>
        <w:rPr>
          <w:rFonts w:ascii="Verdana" w:hAnsi="Verdana"/>
        </w:rPr>
        <w:t xml:space="preserve">                            </w:t>
      </w:r>
      <w:r>
        <w:rPr>
          <w:rFonts w:ascii="Verdana" w:hAnsi="Verdana"/>
        </w:rPr>
        <w:t>Relator - CFOTC</w:t>
      </w:r>
    </w:p>
    <w:p>
      <w:pPr>
        <w:pStyle w:val="style0"/>
      </w:pPr>
      <w:r>
        <w:rPr/>
      </w:r>
    </w:p>
    <w:sectPr>
      <w:type w:val="nextPage"/>
      <w:pgSz w:h="16838" w:w="11906"/>
      <w:pgMar w:bottom="1418" w:footer="0" w:gutter="0" w:header="0" w:left="1701" w:right="1701" w:top="795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00000A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DejaVu Sans" w:hAnsi="Tahoma"/>
      <w:sz w:val="16"/>
      <w:szCs w:val="16"/>
      <w:lang w:eastAsia="pt-BR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2014-12-02T10:21:00.00Z</dcterms:created>
  <dc:creator>Usuario</dc:creator>
  <cp:lastModifiedBy>Usuario</cp:lastModifiedBy>
  <cp:lastPrinted>2014-12-02T13:56:04.20Z</cp:lastPrinted>
  <dcterms:modified xsi:type="dcterms:W3CDTF">2014-12-02T13:04:00.00Z</dcterms:modified>
  <cp:revision>6</cp:revision>
</cp:coreProperties>
</file>