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media/image2.wmf" ContentType="image/x-wmf"/>
  <Override PartName="/word/media/image3.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0" w:left="0" w:right="0"/>
        <w:jc w:val="center"/>
      </w:pPr>
      <w:r>
        <w:rPr/>
        <w:drawing>
          <wp:inline distB="0" distL="0" distR="0" distT="0">
            <wp:extent cx="5581650" cy="120967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                     </w:t>
      </w:r>
    </w:p>
    <w:p>
      <w:pPr>
        <w:pStyle w:val="style0"/>
        <w:jc w:val="center"/>
      </w:pPr>
      <w:r>
        <w:rPr>
          <w:rFonts w:ascii="Verdana" w:hAnsi="Verdana"/>
          <w:b/>
          <w:bCs/>
          <w:u w:val="single"/>
        </w:rPr>
        <w:t xml:space="preserve">PARECER REGIMENTAL 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Verdana" w:hAnsi="Verdana"/>
          <w:b/>
          <w:bCs/>
        </w:rPr>
        <w:t>COMISSÃO DE FISCALIZAÇÃO FINANCEIRA ORÇAMENTÁRIA E DE TOMADA DE CONTAS-CFFOTC</w:t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>
          <w:rFonts w:ascii="Verdana" w:cs="DejaVu Sans" w:hAnsi="Verdana"/>
          <w:b/>
          <w:bCs/>
        </w:rPr>
        <w:t xml:space="preserve">MATÉRIA: </w:t>
      </w:r>
      <w:r>
        <w:rPr>
          <w:rFonts w:ascii="Verdana" w:cs="DejaVu Sans" w:hAnsi="Verdana"/>
          <w:bCs/>
        </w:rPr>
        <w:t>Substitutivo nº 01 ao P</w:t>
      </w:r>
      <w:r>
        <w:rPr>
          <w:rFonts w:ascii="Verdana" w:cs="DejaVu Sans" w:hAnsi="Verdana"/>
        </w:rPr>
        <w:t>rojeto de Lei nº 131/2014 - “Dispõe sobre o Programa Municipal de Incentivo à Recuperação de Créditos Tributários Decorrentes do ISSQN – Imposto sobre Serviços de Qualquer Natureza, Multas Fiscais, IPTU – Imposto Predial Territorial Urbano, e TCR – Taxa de Coleta de Resíduos Sólidos Urbanos inscritos ou não em dívida ativa e em fase de execução fiscal e dá outras providências.”</w:t>
      </w:r>
    </w:p>
    <w:p>
      <w:pPr>
        <w:pStyle w:val="style0"/>
      </w:pPr>
      <w:r>
        <w:rPr/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>
          <w:rFonts w:ascii="Verdana" w:cs="DejaVu Sans" w:hAnsi="Verdana"/>
          <w:b/>
          <w:bCs/>
        </w:rPr>
        <w:t xml:space="preserve">AUTOR: </w:t>
      </w:r>
      <w:r>
        <w:rPr>
          <w:rFonts w:ascii="Verdana" w:cs="DejaVu Sans" w:hAnsi="Verdana"/>
          <w:bCs/>
        </w:rPr>
        <w:t>Poder Executivo Municipal.</w:t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Relatório</w:t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A proposição acima referenciada, cuja autoria pertence ao Chefe do Poder Executivo Municipal, visa a concessão de  anistia fiscal ao contribuinte em débito com a Fazenda Municipal, por meio da redução no valor de encargos incidentes sobre o IPTU, ISSQN, TCR inscritos ou não em dívida ativa e em fase de execução fiscal.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A matéria foi distribuída nesta data a esta Comissão de Fiscalização Financeira, Orçamentária e de Tomada de Contas para receber parecer quanto aos aspectos de sua adequação ao Sistema Orçamentário Municipal, nos termos do disposto no art. 69 e § 2º do art. 83 do Regimento Interno.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Presentes à reunião o Vereador Renato Gomes (presidente), o Vereador Joaquim Gonzaga Barbosa (relator) e o Vereador Fabrício Augusto Carvalho do Nascimento, além do Procurador Geral do Legislativo.</w:t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Fundamentação</w:t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hAnsi="Verdana"/>
        </w:rPr>
        <w:t xml:space="preserve">                          </w:t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hAnsi="Verdana"/>
        </w:rPr>
        <w:t xml:space="preserve">                          </w:t>
      </w:r>
      <w:r>
        <w:rPr>
          <w:rFonts w:ascii="Verdana" w:hAnsi="Verdana"/>
        </w:rPr>
        <w:t xml:space="preserve">A princípio cumpre salientar ser notório que a carga tributária praticada no Brasil se apresenta como uma das maiores </w:t>
      </w:r>
    </w:p>
    <w:p>
      <w:pPr>
        <w:pStyle w:val="style0"/>
        <w:tabs>
          <w:tab w:leader="none" w:pos="5580" w:val="left"/>
        </w:tabs>
        <w:jc w:val="both"/>
      </w:pPr>
      <w:r>
        <w:rPr/>
        <w:drawing>
          <wp:inline distB="0" distL="0" distR="0" distT="0">
            <wp:extent cx="5400040" cy="1170305"/>
            <wp:effectExtent b="0" l="0" r="0" t="0"/>
            <wp:docPr descr="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7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hAnsi="Verdana"/>
        </w:rPr>
        <w:t>que se tem conhecimento. Sendo assim as pesadas exações</w:t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hAnsi="Verdana"/>
        </w:rPr>
        <w:t>tributárias ocasionam dois efeitos nocivos, quais sejam, o incremento dos custos das transações e a prática, por parte de alguns contribuintes, de medidas tendentes ao não pagamento dos tributos.</w:t>
      </w:r>
    </w:p>
    <w:p>
      <w:pPr>
        <w:pStyle w:val="style0"/>
        <w:tabs>
          <w:tab w:leader="none" w:pos="2190" w:val="left"/>
        </w:tabs>
        <w:jc w:val="both"/>
      </w:pPr>
      <w:r>
        <w:rPr>
          <w:rFonts w:ascii="Verdana" w:hAnsi="Verdana"/>
        </w:rPr>
        <w:tab/>
        <w:t>Tem-se, no presente caso, proposta de desconto para pagamento da multa, juros e multas fiscais relativos a IPTU, ISSQN e TCR, mantendo incólume o valor original da parcela. Portanto, o que se objetiva é o desconto progressivo somente no que tange a multa, juros e multa fiscal cobrados.</w:t>
      </w:r>
    </w:p>
    <w:p>
      <w:pPr>
        <w:pStyle w:val="style0"/>
        <w:tabs>
          <w:tab w:leader="none" w:pos="2190" w:val="left"/>
        </w:tabs>
        <w:jc w:val="both"/>
      </w:pPr>
      <w:r>
        <w:rPr>
          <w:rFonts w:ascii="Verdana" w:hAnsi="Verdana"/>
        </w:rPr>
        <w:t xml:space="preserve">                         </w:t>
      </w:r>
      <w:r>
        <w:rPr>
          <w:rFonts w:ascii="Verdana" w:hAnsi="Verdana"/>
        </w:rPr>
        <w:t xml:space="preserve">O objetivo é nobre, isso porque nas fls. 10 pode-se perceber que a dívida ativa tributária subiu de R$46.371.020,00 em 2013, para R$51.921.000,00 em 2014, urgindo que se tome medidas destinadas a reduzir esse cenário fiscal negativo. Nos termos do impacto apresentado pela Secretaria Municipal de Planejamento, Orçamento e Tecnologia, no ano de 2012 quando houve o implemento de incentivo fiscal para o pagamento do crédito tributário, a média de recebimento foi 9,79% superior a 2013, ano este em que não houve medidas dessa natureza. </w:t>
      </w:r>
    </w:p>
    <w:p>
      <w:pPr>
        <w:pStyle w:val="style0"/>
        <w:tabs>
          <w:tab w:leader="none" w:pos="2190" w:val="left"/>
        </w:tabs>
        <w:jc w:val="both"/>
      </w:pPr>
      <w:r>
        <w:rPr>
          <w:rFonts w:ascii="Verdana" w:hAnsi="Verdana"/>
        </w:rPr>
        <w:t xml:space="preserve">                         </w:t>
      </w:r>
      <w:r>
        <w:rPr>
          <w:rFonts w:ascii="Verdana" w:hAnsi="Verdana"/>
        </w:rPr>
        <w:t>Leis municipais que dispõem sobre incentivos fiscais revestem-se de grande eficácia social e legitimidade, sendo relevantes instrumentos para que o Município possa obter receita e, a partir daí assegurar aos munícipes os serviços e atividades de interesse geral indispensável ao atendimento de suas funções sociais e de interesse local.</w:t>
      </w:r>
    </w:p>
    <w:p>
      <w:pPr>
        <w:pStyle w:val="style0"/>
        <w:tabs>
          <w:tab w:leader="none" w:pos="2190" w:val="left"/>
        </w:tabs>
        <w:jc w:val="both"/>
      </w:pPr>
      <w:r>
        <w:rPr>
          <w:rFonts w:ascii="Verdana" w:hAnsi="Verdana"/>
        </w:rPr>
        <w:t xml:space="preserve">                        </w:t>
      </w:r>
      <w:r>
        <w:rPr>
          <w:rFonts w:ascii="Verdana" w:hAnsi="Verdana"/>
        </w:rPr>
        <w:t>Trata-se, pois, de proposta de normatividade, em âmbito local, do princípio da consensualidade, segundo o qual o Poder Público deve priorizar, sempre que possível, os mecanismos consensuais de resolução das controvérsias ao invés da coercibilidade e imperatividade de medidas administrativas que a experiência jurídica vem demonstrando pouco satisfatória no atendimento dos complexos e diversificados interesses públicos.</w:t>
      </w:r>
    </w:p>
    <w:p>
      <w:pPr>
        <w:pStyle w:val="style0"/>
        <w:tabs>
          <w:tab w:leader="none" w:pos="2190" w:val="left"/>
        </w:tabs>
        <w:jc w:val="both"/>
      </w:pPr>
      <w:r>
        <w:rPr>
          <w:rFonts w:ascii="Verdana" w:hAnsi="Verdana"/>
        </w:rPr>
        <w:t xml:space="preserve">                        </w:t>
      </w:r>
      <w:r>
        <w:rPr>
          <w:rFonts w:ascii="Verdana" w:hAnsi="Verdana"/>
        </w:rPr>
        <w:t xml:space="preserve">No entanto, considero que as datas fixadas na proposição destinadas ao pagamento do crédito tributário com os descontos previstos estão muito próximas, sendo necessário um prazo maior para que o Poder Executivo possa divulgar melhor o programa proposto, visando a atingir o maior número possível de contribuintes inadimplentes. Assim, apresento a Emenda modificativa acoplada ao presente parecer, passando a data para pagamento com </w:t>
      </w:r>
    </w:p>
    <w:p>
      <w:pPr>
        <w:pStyle w:val="style0"/>
        <w:tabs>
          <w:tab w:leader="none" w:pos="2190" w:val="left"/>
        </w:tabs>
        <w:jc w:val="both"/>
      </w:pPr>
      <w:r>
        <w:rPr/>
        <w:drawing>
          <wp:inline distB="0" distL="0" distR="0" distT="0">
            <wp:extent cx="5400040" cy="1170305"/>
            <wp:effectExtent b="0" l="0" r="0" t="0"/>
            <wp:docPr descr="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7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leader="none" w:pos="2190" w:val="left"/>
        </w:tabs>
        <w:jc w:val="both"/>
      </w:pPr>
      <w:r>
        <w:rPr>
          <w:rFonts w:ascii="Verdana" w:hAnsi="Verdana"/>
        </w:rPr>
        <w:t xml:space="preserve">desconto de 70% do dia 20/11/2014 para 1º/12/2014; e do dia 17/12/2014 para 20/12/2014 com 60% de desconto.                       </w:t>
      </w:r>
    </w:p>
    <w:p>
      <w:pPr>
        <w:pStyle w:val="style0"/>
        <w:tabs>
          <w:tab w:leader="none" w:pos="5580" w:val="left"/>
        </w:tabs>
        <w:jc w:val="both"/>
      </w:pPr>
      <w:r>
        <w:rPr/>
      </w:r>
    </w:p>
    <w:p>
      <w:pPr>
        <w:pStyle w:val="style0"/>
        <w:tabs>
          <w:tab w:leader="none" w:pos="5580" w:val="left"/>
        </w:tabs>
        <w:jc w:val="both"/>
      </w:pPr>
      <w:r>
        <w:rPr/>
      </w:r>
    </w:p>
    <w:p>
      <w:pPr>
        <w:pStyle w:val="style0"/>
        <w:tabs>
          <w:tab w:leader="none" w:pos="5580" w:val="left"/>
        </w:tabs>
        <w:jc w:val="both"/>
      </w:pPr>
      <w:r>
        <w:rPr/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hAnsi="Verdana"/>
        </w:rPr>
        <w:t xml:space="preserve">                          </w:t>
      </w:r>
      <w:r>
        <w:rPr>
          <w:rFonts w:ascii="Verdana" w:hAnsi="Verdana"/>
          <w:u w:val="single"/>
        </w:rPr>
        <w:t xml:space="preserve">Conclusão  </w:t>
      </w:r>
      <w:r>
        <w:rPr>
          <w:rFonts w:ascii="Verdana" w:cs="DejaVu Sans" w:hAnsi="Verdana"/>
          <w:u w:val="single"/>
        </w:rPr>
        <w:t xml:space="preserve">                          </w:t>
      </w:r>
    </w:p>
    <w:p>
      <w:pPr>
        <w:pStyle w:val="style0"/>
        <w:tabs>
          <w:tab w:leader="none" w:pos="5580" w:val="left"/>
        </w:tabs>
        <w:ind w:firstLine="2340" w:left="0" w:right="0"/>
        <w:jc w:val="both"/>
      </w:pPr>
      <w:r>
        <w:rPr/>
      </w:r>
    </w:p>
    <w:p>
      <w:pPr>
        <w:pStyle w:val="style0"/>
        <w:tabs>
          <w:tab w:leader="none" w:pos="5580" w:val="left"/>
        </w:tabs>
        <w:ind w:firstLine="2340" w:left="0" w:right="0"/>
        <w:jc w:val="both"/>
      </w:pPr>
      <w:r>
        <w:rPr/>
      </w:r>
    </w:p>
    <w:p>
      <w:pPr>
        <w:pStyle w:val="style0"/>
        <w:tabs>
          <w:tab w:leader="none" w:pos="5580" w:val="left"/>
        </w:tabs>
        <w:ind w:firstLine="2340" w:left="0" w:right="0"/>
        <w:jc w:val="both"/>
      </w:pPr>
      <w:r>
        <w:rPr>
          <w:rFonts w:ascii="Verdana" w:cs="DejaVu Sans" w:hAnsi="Verdana"/>
        </w:rPr>
        <w:t xml:space="preserve">Em face do exposto, este relator conclui que </w:t>
      </w:r>
      <w:r>
        <w:rPr>
          <w:rFonts w:ascii="Verdana" w:hAnsi="Verdana"/>
        </w:rPr>
        <w:t>não haverá impacto orçamentário negativo no exercício em curso, uma vez que a anistia proposta garante um aumento na arrecadação, redução da dívida ativa e dos custos processuais a ela relativos, sem comprometimento das metas fiscais previstas no PPA e LOA/2014.</w:t>
      </w:r>
      <w:r>
        <w:rPr>
          <w:rFonts w:ascii="Verdana" w:cs="DejaVu Sans" w:hAnsi="Verdana"/>
        </w:rPr>
        <w:t xml:space="preserve"> Por essa razão não vejo óbice a que a presente proposição seja levada à apreciação do Plenário.</w:t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Sala das Reuniões, 24 de outubro de 2014.</w:t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  <w:t>Joaquim Gonzaga Barbosa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  <w:t>Relator</w:t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  <w:u w:val="single"/>
        </w:rPr>
        <w:t>V O T O S</w:t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  <w:t>De acordo com o relator</w:t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Renato Gomes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Presidente</w:t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Fabrício Augusto Carvalho do Nascimento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Vereador</w:t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Verdana" w:hAnsi="Verdana"/>
          <w:b/>
        </w:rPr>
        <w:t>EMENDA MODIFICATIVA AO SUBSTITUTIVO Nº 01 AO PROJETO DE LEI Nº 131/2014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QUE “DISPÕE SOBRE O PROGRAMA MUNICIPAL DE INCENTIVO A RECUPERAÇÃO DE CRÉDITOS TRIBUTÁRIOS DECORRENTES DO ISSQN – IMPOSTO SOBRE SERVIÇO DE QUALQUER NATUREZA, MULTAS FISCAIS E IPTU – IMPOSTO PREDIAL TERRITORIAL URBANO, E TCR – TAXA DE COLETA DE RESÍDUOS SÓLIDOS URBANOS, INSCRITOS OU NÃO EM DÍVIDA ATIVA E EM FASE DE EXECUÇÃO FISCAL E DÁ OUTRAS PROVIDÊNCIAS”.</w:t>
      </w:r>
    </w:p>
    <w:p>
      <w:pPr>
        <w:pStyle w:val="style0"/>
        <w:ind w:firstLine="2520" w:left="0" w:right="0"/>
        <w:jc w:val="both"/>
      </w:pPr>
      <w:r>
        <w:rPr/>
      </w:r>
    </w:p>
    <w:p>
      <w:pPr>
        <w:pStyle w:val="style0"/>
        <w:ind w:firstLine="2520" w:left="0" w:right="0"/>
        <w:jc w:val="both"/>
      </w:pPr>
      <w:r>
        <w:rPr>
          <w:rFonts w:ascii="Verdana" w:hAnsi="Verdana"/>
        </w:rPr>
        <w:t>Dê-se a seguinte redação aos incisos I e II do art. 4º do Substitutivo nº 01 ao Projeto de Lei nº 131/2014:</w:t>
      </w:r>
    </w:p>
    <w:p>
      <w:pPr>
        <w:pStyle w:val="style0"/>
        <w:ind w:firstLine="2520" w:left="0" w:right="0"/>
        <w:jc w:val="both"/>
      </w:pPr>
      <w:r>
        <w:rPr/>
      </w:r>
    </w:p>
    <w:p>
      <w:pPr>
        <w:pStyle w:val="style0"/>
        <w:jc w:val="both"/>
      </w:pPr>
      <w:r>
        <w:rPr/>
        <w:t xml:space="preserve">                                          </w:t>
      </w:r>
      <w:r>
        <w:rPr>
          <w:rFonts w:ascii="Verdana" w:hAnsi="Verdana"/>
        </w:rPr>
        <w:t xml:space="preserve"> “</w:t>
      </w:r>
      <w:r>
        <w:rPr>
          <w:rFonts w:ascii="Verdana" w:hAnsi="Verdana"/>
        </w:rPr>
        <w:t>Art. 4º (...)</w:t>
      </w:r>
    </w:p>
    <w:p>
      <w:pPr>
        <w:pStyle w:val="style0"/>
        <w:jc w:val="both"/>
      </w:pPr>
      <w:r>
        <w:rPr/>
        <w:t xml:space="preserve">           </w:t>
      </w:r>
    </w:p>
    <w:p>
      <w:pPr>
        <w:pStyle w:val="style0"/>
      </w:pPr>
      <w:r>
        <w:rPr>
          <w:rFonts w:ascii="Verdana" w:hAnsi="Verdana"/>
        </w:rPr>
        <w:t xml:space="preserve">                                </w:t>
      </w:r>
      <w:r>
        <w:rPr>
          <w:rFonts w:ascii="Verdana" w:hAnsi="Verdana"/>
        </w:rPr>
        <w:t>I-com desconto de 70% (setenta por cento) para pagamento até o dia 1º de dezembro de 2014;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Verdana" w:hAnsi="Verdana"/>
        </w:rPr>
        <w:t xml:space="preserve">                                </w:t>
      </w:r>
      <w:r>
        <w:rPr>
          <w:rFonts w:ascii="Verdana" w:hAnsi="Verdana"/>
        </w:rPr>
        <w:t>II-com desconto de 60% (sessenta por cento) para pagamento até o dia 20 de dezembro de 2014.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Verdana" w:hAnsi="Verdana"/>
        </w:rPr>
        <w:t xml:space="preserve">                                </w:t>
      </w:r>
    </w:p>
    <w:p>
      <w:pPr>
        <w:pStyle w:val="style0"/>
      </w:pPr>
      <w:r>
        <w:rPr>
          <w:rFonts w:ascii="Verdana" w:hAnsi="Verdana"/>
        </w:rPr>
        <w:t xml:space="preserve">                              </w:t>
      </w:r>
      <w:r>
        <w:rPr>
          <w:rFonts w:ascii="Verdana" w:hAnsi="Verdana"/>
        </w:rPr>
        <w:t>Sala das Reuniões, 24 de outubro de 2012.</w:t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           </w:t>
      </w:r>
    </w:p>
    <w:p>
      <w:pPr>
        <w:pStyle w:val="style0"/>
      </w:pPr>
      <w:r>
        <w:rPr/>
        <w:t xml:space="preserve">                                              </w:t>
      </w:r>
    </w:p>
    <w:p>
      <w:pPr>
        <w:pStyle w:val="style0"/>
        <w:ind w:firstLine="2295" w:left="0" w:right="0"/>
      </w:pPr>
      <w:r>
        <w:rPr>
          <w:rFonts w:ascii="Verdana" w:hAnsi="Verdana"/>
        </w:rPr>
        <w:t xml:space="preserve">   </w:t>
      </w:r>
      <w:r>
        <w:rPr>
          <w:rFonts w:ascii="Verdana" w:hAnsi="Verdana"/>
        </w:rPr>
        <w:t>Joaquim Gonzaga Barbosa</w:t>
      </w:r>
    </w:p>
    <w:p>
      <w:pPr>
        <w:pStyle w:val="style0"/>
        <w:ind w:firstLine="2295" w:left="0" w:right="0"/>
      </w:pPr>
      <w:r>
        <w:rPr>
          <w:rFonts w:ascii="Verdana" w:hAnsi="Verdana"/>
        </w:rPr>
        <w:t xml:space="preserve">   </w:t>
      </w:r>
      <w:r>
        <w:rPr>
          <w:rFonts w:ascii="Verdana" w:hAnsi="Verdana"/>
        </w:rPr>
        <w:t>Relator da CFFOTC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00000A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>
      <w:rFonts w:ascii="Tahoma" w:cs="Tahoma" w:hAnsi="Tahoma"/>
      <w:sz w:val="16"/>
      <w:szCs w:val="16"/>
    </w:rPr>
  </w:style>
  <w:style w:styleId="style17" w:type="paragraph">
    <w:name w:val="Título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Balloon Text"/>
    <w:basedOn w:val="style0"/>
    <w:next w:val="style22"/>
    <w:pPr>
      <w:widowControl/>
      <w:suppressAutoHyphens w:val="false"/>
    </w:pPr>
    <w:rPr>
      <w:rFonts w:ascii="Tahoma" w:cs="Calibri" w:hAnsi="Tahoma"/>
      <w:sz w:val="16"/>
      <w:szCs w:val="16"/>
      <w:lang w:eastAsia="en-US"/>
    </w:rPr>
  </w:style>
  <w:style w:styleId="style23" w:type="paragraph">
    <w:name w:val="List Paragraph"/>
    <w:basedOn w:val="style0"/>
    <w:next w:val="style23"/>
    <w:pPr>
      <w:spacing w:after="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2014-11-10T10:24:00.00Z</dcterms:created>
  <dc:creator>Usuario</dc:creator>
  <cp:lastModifiedBy>Usuario</cp:lastModifiedBy>
  <cp:lastPrinted>2014-11-10T11:43:00.00Z</cp:lastPrinted>
  <dcterms:modified xsi:type="dcterms:W3CDTF">2014-11-10T11:52:00.00Z</dcterms:modified>
  <cp:revision>2</cp:revision>
</cp:coreProperties>
</file>