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6A5" w14:textId="77777777" w:rsidR="004D7CE2" w:rsidRPr="00463B93" w:rsidRDefault="00463B93" w:rsidP="00AD4A9E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463B93">
        <w:rPr>
          <w:rFonts w:ascii="Century Gothic" w:hAnsi="Century Gothic"/>
          <w:b/>
          <w:sz w:val="28"/>
          <w:szCs w:val="28"/>
          <w:u w:val="single"/>
        </w:rPr>
        <w:t>PARECER</w:t>
      </w:r>
    </w:p>
    <w:p w14:paraId="7FF057DA" w14:textId="77777777" w:rsidR="004D7CE2" w:rsidRPr="00463B93" w:rsidRDefault="00463B93" w:rsidP="00AD4A9E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463B93">
        <w:rPr>
          <w:rFonts w:ascii="Century Gothic" w:hAnsi="Century Gothic"/>
          <w:b/>
          <w:sz w:val="28"/>
          <w:szCs w:val="28"/>
          <w:u w:val="single"/>
        </w:rPr>
        <w:t>COMISSÃO ESPECIAL DE ANÁLISE DE VETO</w:t>
      </w:r>
    </w:p>
    <w:p w14:paraId="7B0F08C6" w14:textId="77777777" w:rsid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</w:p>
    <w:p w14:paraId="7FC6E2F9" w14:textId="77777777" w:rsid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</w:p>
    <w:p w14:paraId="39EA0B98" w14:textId="77777777" w:rsid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</w:p>
    <w:p w14:paraId="42674413" w14:textId="62CB9664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bCs/>
          <w:sz w:val="24"/>
          <w:szCs w:val="24"/>
        </w:rPr>
        <w:t>MATÉRIA:</w:t>
      </w:r>
      <w:r w:rsidRPr="00AD4A9E">
        <w:rPr>
          <w:rFonts w:ascii="Century Gothic" w:hAnsi="Century Gothic"/>
          <w:sz w:val="24"/>
          <w:szCs w:val="24"/>
        </w:rPr>
        <w:t xml:space="preserve"> Razões de Veto Total ao Projeto de Lei nº 268/2025, que “dispõe sobre as diretrizes para o cadastramento, monitoramento, proteção, conservação e recuperação das nascentes existentes no </w:t>
      </w:r>
      <w:r w:rsidRPr="00AD4A9E">
        <w:rPr>
          <w:rFonts w:ascii="Century Gothic" w:hAnsi="Century Gothic"/>
          <w:sz w:val="24"/>
          <w:szCs w:val="24"/>
        </w:rPr>
        <w:t>Município de Sete Lagoas/MG.”</w:t>
      </w:r>
    </w:p>
    <w:p w14:paraId="0EAB6CBD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br/>
        <w:t>I – DO PROJETO DE LEI</w:t>
      </w:r>
    </w:p>
    <w:p w14:paraId="61774E59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>De autoria da Vereadora Heloísa Diniz Frois, o Projeto de Lei nº 268/2025 estabelece diretrizes para o cadastramento, monitoramento, proteção, conservação e recuperação das nascentes existentes em Sete L</w:t>
      </w:r>
      <w:r w:rsidRPr="00AD4A9E">
        <w:rPr>
          <w:rFonts w:ascii="Century Gothic" w:hAnsi="Century Gothic"/>
          <w:sz w:val="24"/>
          <w:szCs w:val="24"/>
        </w:rPr>
        <w:t>agoas, com o objetivo de preservar os recursos hídricos, assegurar o equilíbrio ambiental e garantir qualidade de vida às presentes e futuras gerações.</w:t>
      </w:r>
    </w:p>
    <w:p w14:paraId="3905954F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br/>
        <w:t>II – DAS RAZÕES DO VETO</w:t>
      </w:r>
    </w:p>
    <w:p w14:paraId="5F71FE1E" w14:textId="77777777" w:rsid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Segundo a Mensagem nº 48/2025, as razões do veto total baseiam-se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três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princ</w:t>
      </w:r>
      <w:r w:rsidRPr="00AD4A9E">
        <w:rPr>
          <w:rFonts w:ascii="Century Gothic" w:hAnsi="Century Gothic"/>
          <w:sz w:val="24"/>
          <w:szCs w:val="24"/>
        </w:rPr>
        <w:t>ipais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argumentos</w:t>
      </w:r>
      <w:proofErr w:type="spellEnd"/>
      <w:r w:rsidRPr="00AD4A9E">
        <w:rPr>
          <w:rFonts w:ascii="Century Gothic" w:hAnsi="Century Gothic"/>
          <w:sz w:val="24"/>
          <w:szCs w:val="24"/>
        </w:rPr>
        <w:t>:</w:t>
      </w:r>
    </w:p>
    <w:p w14:paraId="36EDCB40" w14:textId="5B9B2B38" w:rsidR="00AD4A9E" w:rsidRPr="00AD4A9E" w:rsidRDefault="00463B93" w:rsidP="00AD4A9E">
      <w:pPr>
        <w:pStyle w:val="PargrafodaLista"/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proofErr w:type="spellStart"/>
      <w:r w:rsidRPr="00AD4A9E">
        <w:rPr>
          <w:rFonts w:ascii="Century Gothic" w:hAnsi="Century Gothic"/>
          <w:b/>
          <w:bCs/>
          <w:sz w:val="24"/>
          <w:szCs w:val="24"/>
        </w:rPr>
        <w:t>Vício</w:t>
      </w:r>
      <w:proofErr w:type="spellEnd"/>
      <w:r w:rsidRPr="00AD4A9E">
        <w:rPr>
          <w:rFonts w:ascii="Century Gothic" w:hAnsi="Century Gothic"/>
          <w:b/>
          <w:bCs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b/>
          <w:bCs/>
          <w:sz w:val="24"/>
          <w:szCs w:val="24"/>
        </w:rPr>
        <w:t>iniciativa</w:t>
      </w:r>
      <w:proofErr w:type="spellEnd"/>
      <w:r w:rsidRPr="00AD4A9E">
        <w:rPr>
          <w:rFonts w:ascii="Century Gothic" w:hAnsi="Century Gothic"/>
          <w:b/>
          <w:bCs/>
          <w:sz w:val="24"/>
          <w:szCs w:val="24"/>
        </w:rPr>
        <w:t>:</w:t>
      </w:r>
      <w:r w:rsidRPr="00AD4A9E">
        <w:rPr>
          <w:rFonts w:ascii="Century Gothic" w:hAnsi="Century Gothic"/>
          <w:sz w:val="24"/>
          <w:szCs w:val="24"/>
        </w:rPr>
        <w:t xml:space="preserve"> o Executivo argumenta que o projeto impõe obrigações administrativas diretas (como cadastramento e georreferenciamento), invadindo a </w:t>
      </w:r>
      <w:proofErr w:type="spellStart"/>
      <w:r w:rsidRPr="00AD4A9E">
        <w:rPr>
          <w:rFonts w:ascii="Century Gothic" w:hAnsi="Century Gothic"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privativa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do </w:t>
      </w:r>
      <w:proofErr w:type="spellStart"/>
      <w:r w:rsidRPr="00AD4A9E">
        <w:rPr>
          <w:rFonts w:ascii="Century Gothic" w:hAnsi="Century Gothic"/>
          <w:sz w:val="24"/>
          <w:szCs w:val="24"/>
        </w:rPr>
        <w:t>Prefeito</w:t>
      </w:r>
      <w:proofErr w:type="spellEnd"/>
      <w:r w:rsidRPr="00AD4A9E">
        <w:rPr>
          <w:rFonts w:ascii="Century Gothic" w:hAnsi="Century Gothic"/>
          <w:sz w:val="24"/>
          <w:szCs w:val="24"/>
        </w:rPr>
        <w:t>;</w:t>
      </w:r>
    </w:p>
    <w:p w14:paraId="1CBA316C" w14:textId="77777777" w:rsidR="00AD4A9E" w:rsidRDefault="00463B93" w:rsidP="00AD4A9E">
      <w:pPr>
        <w:pStyle w:val="PargrafodaLista"/>
        <w:ind w:left="735"/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br/>
      </w:r>
      <w:r w:rsidRPr="00AD4A9E">
        <w:rPr>
          <w:rFonts w:ascii="Century Gothic" w:hAnsi="Century Gothic"/>
          <w:b/>
          <w:bCs/>
          <w:sz w:val="24"/>
          <w:szCs w:val="24"/>
        </w:rPr>
        <w:t>2. Inviabilidade orçamentária:</w:t>
      </w:r>
      <w:r w:rsidRPr="00AD4A9E">
        <w:rPr>
          <w:rFonts w:ascii="Century Gothic" w:hAnsi="Century Gothic"/>
          <w:sz w:val="24"/>
          <w:szCs w:val="24"/>
        </w:rPr>
        <w:t xml:space="preserve"> aponta ausência</w:t>
      </w:r>
      <w:r w:rsidRPr="00AD4A9E">
        <w:rPr>
          <w:rFonts w:ascii="Century Gothic" w:hAnsi="Century Gothic"/>
          <w:sz w:val="24"/>
          <w:szCs w:val="24"/>
        </w:rPr>
        <w:t xml:space="preserve"> de estudo de impacto financeiro e a criação de obrigações sem previsão de </w:t>
      </w:r>
      <w:proofErr w:type="spellStart"/>
      <w:r w:rsidRPr="00AD4A9E">
        <w:rPr>
          <w:rFonts w:ascii="Century Gothic" w:hAnsi="Century Gothic"/>
          <w:sz w:val="24"/>
          <w:szCs w:val="24"/>
        </w:rPr>
        <w:t>recursos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estrutura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técnica</w:t>
      </w:r>
      <w:proofErr w:type="spellEnd"/>
      <w:r w:rsidRPr="00AD4A9E">
        <w:rPr>
          <w:rFonts w:ascii="Century Gothic" w:hAnsi="Century Gothic"/>
          <w:sz w:val="24"/>
          <w:szCs w:val="24"/>
        </w:rPr>
        <w:t>;</w:t>
      </w:r>
    </w:p>
    <w:p w14:paraId="10E3334E" w14:textId="77777777" w:rsidR="00AD4A9E" w:rsidRDefault="00AD4A9E" w:rsidP="00AD4A9E">
      <w:pPr>
        <w:pStyle w:val="PargrafodaLista"/>
        <w:ind w:left="735"/>
        <w:jc w:val="both"/>
        <w:rPr>
          <w:rFonts w:ascii="Century Gothic" w:hAnsi="Century Gothic"/>
          <w:sz w:val="24"/>
          <w:szCs w:val="24"/>
        </w:rPr>
      </w:pPr>
    </w:p>
    <w:p w14:paraId="263DBD89" w14:textId="559D5C1A" w:rsidR="004D7CE2" w:rsidRPr="00AD4A9E" w:rsidRDefault="00463B93" w:rsidP="00AD4A9E">
      <w:pPr>
        <w:pStyle w:val="PargrafodaLista"/>
        <w:ind w:left="735"/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bCs/>
          <w:sz w:val="24"/>
          <w:szCs w:val="24"/>
        </w:rPr>
        <w:t>3. Violação à propriedade privada:</w:t>
      </w:r>
      <w:r w:rsidRPr="00AD4A9E">
        <w:rPr>
          <w:rFonts w:ascii="Century Gothic" w:hAnsi="Century Gothic"/>
          <w:sz w:val="24"/>
          <w:szCs w:val="24"/>
        </w:rPr>
        <w:t xml:space="preserve"> menciona que o ingresso em imóveis particulares para georreferenciamento de nascentes, sem autorização judicial ou </w:t>
      </w:r>
      <w:r w:rsidRPr="00AD4A9E">
        <w:rPr>
          <w:rFonts w:ascii="Century Gothic" w:hAnsi="Century Gothic"/>
          <w:sz w:val="24"/>
          <w:szCs w:val="24"/>
        </w:rPr>
        <w:t>do proprietário, seria inconstitucional.</w:t>
      </w:r>
    </w:p>
    <w:p w14:paraId="299CEF56" w14:textId="375561CE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lastRenderedPageBreak/>
        <w:t>III – DA ANÁLISE DA COMISSÃO</w:t>
      </w:r>
    </w:p>
    <w:p w14:paraId="0496836C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>1. Ausência de vício de iniciativa</w:t>
      </w:r>
    </w:p>
    <w:p w14:paraId="1F0BB07E" w14:textId="77777777" w:rsid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A proposição legislativa não cria cargos, não reorganiza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estrutura da administração pública e tampouco impõe execução obrigatória e imediata de açõe</w:t>
      </w:r>
      <w:r w:rsidRPr="00AD4A9E">
        <w:rPr>
          <w:rFonts w:ascii="Century Gothic" w:hAnsi="Century Gothic"/>
          <w:sz w:val="24"/>
          <w:szCs w:val="24"/>
        </w:rPr>
        <w:t xml:space="preserve">s administrativas. </w:t>
      </w:r>
    </w:p>
    <w:p w14:paraId="1D3C7D29" w14:textId="7733F35A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t>Trata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-se de </w:t>
      </w:r>
      <w:proofErr w:type="spellStart"/>
      <w:r w:rsidRPr="00AD4A9E">
        <w:rPr>
          <w:rFonts w:ascii="Century Gothic" w:hAnsi="Century Gothic"/>
          <w:sz w:val="24"/>
          <w:szCs w:val="24"/>
        </w:rPr>
        <w:t>projeto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estabelece diretrizes de política pública ambiental, matéria sobre a qual o Poder Legislativo pode legislar, sobretudo quando se refere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interesse local, nos termos do art. 30, I e II, da Constituição Federal.</w:t>
      </w:r>
    </w:p>
    <w:p w14:paraId="1C2CE36E" w14:textId="77777777" w:rsid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A </w:t>
      </w:r>
      <w:r w:rsidRPr="00AD4A9E">
        <w:rPr>
          <w:rFonts w:ascii="Century Gothic" w:hAnsi="Century Gothic"/>
          <w:sz w:val="24"/>
          <w:szCs w:val="24"/>
        </w:rPr>
        <w:t xml:space="preserve">jurisprudência do STF é pacífica nesse sentido. </w:t>
      </w:r>
      <w:proofErr w:type="gramStart"/>
      <w:r w:rsidR="00AD4A9E">
        <w:rPr>
          <w:rFonts w:ascii="Century Gothic" w:hAnsi="Century Gothic"/>
          <w:sz w:val="24"/>
          <w:szCs w:val="24"/>
        </w:rPr>
        <w:t>A</w:t>
      </w:r>
      <w:proofErr w:type="gramEnd"/>
      <w:r w:rsidR="00AD4A9E">
        <w:rPr>
          <w:rFonts w:ascii="Century Gothic" w:hAnsi="Century Gothic"/>
          <w:sz w:val="24"/>
          <w:szCs w:val="24"/>
        </w:rPr>
        <w:t xml:space="preserve"> </w:t>
      </w:r>
      <w:r w:rsidRPr="00AD4A9E">
        <w:rPr>
          <w:rFonts w:ascii="Century Gothic" w:hAnsi="Century Gothic"/>
          <w:sz w:val="24"/>
          <w:szCs w:val="24"/>
        </w:rPr>
        <w:t xml:space="preserve">ADI 3.410/DF </w:t>
      </w:r>
      <w:proofErr w:type="spellStart"/>
      <w:r w:rsidRPr="00AD4A9E">
        <w:rPr>
          <w:rFonts w:ascii="Century Gothic" w:hAnsi="Century Gothic"/>
          <w:sz w:val="24"/>
          <w:szCs w:val="24"/>
        </w:rPr>
        <w:t>consagrou</w:t>
      </w:r>
      <w:proofErr w:type="spellEnd"/>
      <w:r w:rsidRPr="00AD4A9E">
        <w:rPr>
          <w:rFonts w:ascii="Century Gothic" w:hAnsi="Century Gothic"/>
          <w:sz w:val="24"/>
          <w:szCs w:val="24"/>
        </w:rPr>
        <w:t>:</w:t>
      </w:r>
      <w:r w:rsidR="00AD4A9E">
        <w:rPr>
          <w:rFonts w:ascii="Century Gothic" w:hAnsi="Century Gothic"/>
          <w:sz w:val="24"/>
          <w:szCs w:val="24"/>
        </w:rPr>
        <w:t xml:space="preserve"> </w:t>
      </w:r>
    </w:p>
    <w:p w14:paraId="1D9C81BF" w14:textId="011DBF8B" w:rsidR="004D7CE2" w:rsidRPr="00AD4A9E" w:rsidRDefault="00463B93" w:rsidP="00AD4A9E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AD4A9E">
        <w:rPr>
          <w:rFonts w:ascii="Century Gothic" w:hAnsi="Century Gothic"/>
          <w:i/>
          <w:iCs/>
          <w:sz w:val="24"/>
          <w:szCs w:val="24"/>
        </w:rPr>
        <w:t>“A m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era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fixação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de dire</w:t>
      </w:r>
      <w:r w:rsidRPr="00AD4A9E">
        <w:rPr>
          <w:rFonts w:ascii="Century Gothic" w:hAnsi="Century Gothic"/>
          <w:i/>
          <w:iCs/>
          <w:sz w:val="24"/>
          <w:szCs w:val="24"/>
        </w:rPr>
        <w:t xml:space="preserve">trizes gerais, sem ingerência direta na estrutura organizacional da Administração, não viola a cláusula da reserva de iniciativa do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chefe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do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Executivo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>.”</w:t>
      </w:r>
    </w:p>
    <w:p w14:paraId="4CE85DFE" w14:textId="096AAEB2" w:rsid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t>Assim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iniciativa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parlamentar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neste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caso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viola a </w:t>
      </w:r>
      <w:proofErr w:type="spellStart"/>
      <w:r w:rsidRPr="00AD4A9E">
        <w:rPr>
          <w:rFonts w:ascii="Century Gothic" w:hAnsi="Century Gothic"/>
          <w:sz w:val="24"/>
          <w:szCs w:val="24"/>
        </w:rPr>
        <w:t>reserva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constitucional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do </w:t>
      </w:r>
      <w:proofErr w:type="spellStart"/>
      <w:r w:rsidRPr="00AD4A9E">
        <w:rPr>
          <w:rFonts w:ascii="Century Gothic" w:hAnsi="Century Gothic"/>
          <w:sz w:val="24"/>
          <w:szCs w:val="24"/>
        </w:rPr>
        <w:t>Poder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Executivo</w:t>
      </w:r>
      <w:proofErr w:type="spellEnd"/>
      <w:r w:rsidRPr="00AD4A9E">
        <w:rPr>
          <w:rFonts w:ascii="Century Gothic" w:hAnsi="Century Gothic"/>
          <w:sz w:val="24"/>
          <w:szCs w:val="24"/>
        </w:rPr>
        <w:t>.</w:t>
      </w:r>
    </w:p>
    <w:p w14:paraId="5CBC98D6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</w:p>
    <w:p w14:paraId="182A357C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>2. Viabilidade orçamentária e implementação progressiva</w:t>
      </w:r>
    </w:p>
    <w:p w14:paraId="5AD8BD06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O </w:t>
      </w:r>
      <w:proofErr w:type="spellStart"/>
      <w:r w:rsidRPr="00AD4A9E">
        <w:rPr>
          <w:rFonts w:ascii="Century Gothic" w:hAnsi="Century Gothic"/>
          <w:sz w:val="24"/>
          <w:szCs w:val="24"/>
        </w:rPr>
        <w:t>entendimento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do STF </w:t>
      </w:r>
      <w:proofErr w:type="spellStart"/>
      <w:r w:rsidRPr="00AD4A9E">
        <w:rPr>
          <w:rFonts w:ascii="Century Gothic" w:hAnsi="Century Gothic"/>
          <w:sz w:val="24"/>
          <w:szCs w:val="24"/>
        </w:rPr>
        <w:t>considera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normas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meramente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programáticas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— </w:t>
      </w:r>
      <w:proofErr w:type="spellStart"/>
      <w:r w:rsidRPr="00AD4A9E">
        <w:rPr>
          <w:rFonts w:ascii="Century Gothic" w:hAnsi="Century Gothic"/>
          <w:sz w:val="24"/>
          <w:szCs w:val="24"/>
        </w:rPr>
        <w:t>ou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seja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aquelas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estabelecem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objetivos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diretrizes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para </w:t>
      </w:r>
      <w:proofErr w:type="spellStart"/>
      <w:r w:rsidRPr="00AD4A9E">
        <w:rPr>
          <w:rFonts w:ascii="Century Gothic" w:hAnsi="Century Gothic"/>
          <w:sz w:val="24"/>
          <w:szCs w:val="24"/>
        </w:rPr>
        <w:t>atuação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futura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— </w:t>
      </w:r>
      <w:proofErr w:type="spellStart"/>
      <w:r w:rsidRPr="00AD4A9E">
        <w:rPr>
          <w:rFonts w:ascii="Century Gothic" w:hAnsi="Century Gothic"/>
          <w:sz w:val="24"/>
          <w:szCs w:val="24"/>
        </w:rPr>
        <w:t>não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exigem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impacto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orçamentário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imediato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estimação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custos, </w:t>
      </w:r>
      <w:proofErr w:type="spellStart"/>
      <w:r w:rsidRPr="00AD4A9E">
        <w:rPr>
          <w:rFonts w:ascii="Century Gothic" w:hAnsi="Century Gothic"/>
          <w:sz w:val="24"/>
          <w:szCs w:val="24"/>
        </w:rPr>
        <w:t>desde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efetivação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dependa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regulamentação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dotação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específica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futura</w:t>
      </w:r>
      <w:proofErr w:type="spellEnd"/>
      <w:r w:rsidRPr="00AD4A9E">
        <w:rPr>
          <w:rFonts w:ascii="Century Gothic" w:hAnsi="Century Gothic"/>
          <w:sz w:val="24"/>
          <w:szCs w:val="24"/>
        </w:rPr>
        <w:t>.</w:t>
      </w:r>
    </w:p>
    <w:p w14:paraId="57FC0B8D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t>Há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precedentes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confirmam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essa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postura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no campo </w:t>
      </w:r>
      <w:proofErr w:type="spellStart"/>
      <w:r w:rsidRPr="00AD4A9E">
        <w:rPr>
          <w:rFonts w:ascii="Century Gothic" w:hAnsi="Century Gothic"/>
          <w:sz w:val="24"/>
          <w:szCs w:val="24"/>
        </w:rPr>
        <w:t>ambiental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de </w:t>
      </w:r>
      <w:proofErr w:type="spellStart"/>
      <w:r w:rsidRPr="00AD4A9E">
        <w:rPr>
          <w:rFonts w:ascii="Century Gothic" w:hAnsi="Century Gothic"/>
          <w:sz w:val="24"/>
          <w:szCs w:val="24"/>
        </w:rPr>
        <w:t>políticas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públicas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geral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AD4A9E">
        <w:rPr>
          <w:rFonts w:ascii="Century Gothic" w:hAnsi="Century Gothic"/>
          <w:sz w:val="24"/>
          <w:szCs w:val="24"/>
        </w:rPr>
        <w:t>Ainda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não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estejam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diretamente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rubricadas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como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“</w:t>
      </w:r>
      <w:proofErr w:type="spellStart"/>
      <w:r w:rsidRPr="00AD4A9E">
        <w:rPr>
          <w:rFonts w:ascii="Century Gothic" w:hAnsi="Century Gothic"/>
          <w:sz w:val="24"/>
          <w:szCs w:val="24"/>
        </w:rPr>
        <w:t>ambientais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”, </w:t>
      </w:r>
      <w:proofErr w:type="spellStart"/>
      <w:r w:rsidRPr="00AD4A9E">
        <w:rPr>
          <w:rFonts w:ascii="Century Gothic" w:hAnsi="Century Gothic"/>
          <w:sz w:val="24"/>
          <w:szCs w:val="24"/>
        </w:rPr>
        <w:t>elas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refletem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o </w:t>
      </w:r>
      <w:proofErr w:type="spellStart"/>
      <w:r w:rsidRPr="00AD4A9E">
        <w:rPr>
          <w:rFonts w:ascii="Century Gothic" w:hAnsi="Century Gothic"/>
          <w:sz w:val="24"/>
          <w:szCs w:val="24"/>
        </w:rPr>
        <w:t>mesmo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entendimento</w:t>
      </w:r>
      <w:proofErr w:type="spellEnd"/>
      <w:r w:rsidRPr="00AD4A9E">
        <w:rPr>
          <w:rFonts w:ascii="Century Gothic" w:hAnsi="Century Gothic"/>
          <w:sz w:val="24"/>
          <w:szCs w:val="24"/>
        </w:rPr>
        <w:t>:</w:t>
      </w:r>
    </w:p>
    <w:p w14:paraId="5DD54525" w14:textId="712FAADB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No </w:t>
      </w:r>
      <w:proofErr w:type="spellStart"/>
      <w:r w:rsidRPr="00AD4A9E">
        <w:rPr>
          <w:rFonts w:ascii="Century Gothic" w:hAnsi="Century Gothic"/>
          <w:sz w:val="24"/>
          <w:szCs w:val="24"/>
        </w:rPr>
        <w:t>julgamento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da ADI 4.959</w:t>
      </w:r>
      <w:r w:rsidRPr="00AD4A9E">
        <w:rPr>
          <w:rFonts w:ascii="Cambria Math" w:hAnsi="Cambria Math" w:cs="Cambria Math"/>
          <w:sz w:val="24"/>
          <w:szCs w:val="24"/>
        </w:rPr>
        <w:t>‑</w:t>
      </w:r>
      <w:r w:rsidRPr="00AD4A9E">
        <w:rPr>
          <w:rFonts w:ascii="Century Gothic" w:hAnsi="Century Gothic"/>
          <w:sz w:val="24"/>
          <w:szCs w:val="24"/>
        </w:rPr>
        <w:t xml:space="preserve">AL, o STF </w:t>
      </w:r>
      <w:proofErr w:type="spellStart"/>
      <w:r w:rsidRPr="00AD4A9E">
        <w:rPr>
          <w:rFonts w:ascii="Century Gothic" w:hAnsi="Century Gothic"/>
          <w:sz w:val="24"/>
          <w:szCs w:val="24"/>
        </w:rPr>
        <w:t>reconheceu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AD4A9E">
        <w:rPr>
          <w:rFonts w:ascii="Century Gothic" w:hAnsi="Century Gothic"/>
          <w:sz w:val="24"/>
          <w:szCs w:val="24"/>
        </w:rPr>
        <w:t>constitucionalidade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lei </w:t>
      </w:r>
      <w:proofErr w:type="spellStart"/>
      <w:r w:rsidRPr="00AD4A9E">
        <w:rPr>
          <w:rFonts w:ascii="Century Gothic" w:hAnsi="Century Gothic"/>
          <w:sz w:val="24"/>
          <w:szCs w:val="24"/>
        </w:rPr>
        <w:t>estadual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iniciativa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parlamentar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institu</w:t>
      </w:r>
      <w:r w:rsidRPr="00AD4A9E">
        <w:rPr>
          <w:rFonts w:ascii="Century Gothic" w:hAnsi="Century Gothic" w:cs="Century Gothic"/>
          <w:sz w:val="24"/>
          <w:szCs w:val="24"/>
        </w:rPr>
        <w:t>í</w:t>
      </w:r>
      <w:r w:rsidRPr="00AD4A9E">
        <w:rPr>
          <w:rFonts w:ascii="Century Gothic" w:hAnsi="Century Gothic"/>
          <w:sz w:val="24"/>
          <w:szCs w:val="24"/>
        </w:rPr>
        <w:t>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pol</w:t>
      </w:r>
      <w:r w:rsidRPr="00AD4A9E">
        <w:rPr>
          <w:rFonts w:ascii="Century Gothic" w:hAnsi="Century Gothic" w:cs="Century Gothic"/>
          <w:sz w:val="24"/>
          <w:szCs w:val="24"/>
        </w:rPr>
        <w:t>í</w:t>
      </w:r>
      <w:r w:rsidRPr="00AD4A9E">
        <w:rPr>
          <w:rFonts w:ascii="Century Gothic" w:hAnsi="Century Gothic"/>
          <w:sz w:val="24"/>
          <w:szCs w:val="24"/>
        </w:rPr>
        <w:t>tica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</w:t>
      </w:r>
      <w:r w:rsidRPr="00AD4A9E">
        <w:rPr>
          <w:rFonts w:ascii="Century Gothic" w:hAnsi="Century Gothic" w:cs="Century Gothic"/>
          <w:sz w:val="24"/>
          <w:szCs w:val="24"/>
        </w:rPr>
        <w:t>ú</w:t>
      </w:r>
      <w:r w:rsidRPr="00AD4A9E">
        <w:rPr>
          <w:rFonts w:ascii="Century Gothic" w:hAnsi="Century Gothic"/>
          <w:sz w:val="24"/>
          <w:szCs w:val="24"/>
        </w:rPr>
        <w:t>blica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prote</w:t>
      </w:r>
      <w:r w:rsidRPr="00AD4A9E">
        <w:rPr>
          <w:rFonts w:ascii="Century Gothic" w:hAnsi="Century Gothic" w:cs="Century Gothic"/>
          <w:sz w:val="24"/>
          <w:szCs w:val="24"/>
        </w:rPr>
        <w:t>çã</w:t>
      </w:r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r w:rsidRPr="00AD4A9E">
        <w:rPr>
          <w:rFonts w:ascii="Century Gothic" w:hAnsi="Century Gothic" w:cs="Century Gothic"/>
          <w:sz w:val="24"/>
          <w:szCs w:val="24"/>
        </w:rPr>
        <w:t>à</w:t>
      </w:r>
      <w:r w:rsidRPr="00AD4A9E">
        <w:rPr>
          <w:rFonts w:ascii="Century Gothic" w:hAnsi="Century Gothic"/>
          <w:sz w:val="24"/>
          <w:szCs w:val="24"/>
        </w:rPr>
        <w:t xml:space="preserve"> fauna, </w:t>
      </w:r>
      <w:proofErr w:type="spellStart"/>
      <w:r w:rsidRPr="00AD4A9E">
        <w:rPr>
          <w:rFonts w:ascii="Century Gothic" w:hAnsi="Century Gothic"/>
          <w:sz w:val="24"/>
          <w:szCs w:val="24"/>
        </w:rPr>
        <w:t>mesmo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gerando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despesas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administrativas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por </w:t>
      </w:r>
      <w:proofErr w:type="spellStart"/>
      <w:r w:rsidRPr="00AD4A9E">
        <w:rPr>
          <w:rFonts w:ascii="Century Gothic" w:hAnsi="Century Gothic"/>
          <w:sz w:val="24"/>
          <w:szCs w:val="24"/>
        </w:rPr>
        <w:t>n</w:t>
      </w:r>
      <w:r w:rsidRPr="00AD4A9E">
        <w:rPr>
          <w:rFonts w:ascii="Century Gothic" w:hAnsi="Century Gothic" w:cs="Century Gothic"/>
          <w:sz w:val="24"/>
          <w:szCs w:val="24"/>
        </w:rPr>
        <w:t>ã</w:t>
      </w:r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criar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 w:cs="Century Gothic"/>
          <w:sz w:val="24"/>
          <w:szCs w:val="24"/>
        </w:rPr>
        <w:t>ó</w:t>
      </w:r>
      <w:r w:rsidRPr="00AD4A9E">
        <w:rPr>
          <w:rFonts w:ascii="Century Gothic" w:hAnsi="Century Gothic"/>
          <w:sz w:val="24"/>
          <w:szCs w:val="24"/>
        </w:rPr>
        <w:t>rg</w:t>
      </w:r>
      <w:r w:rsidRPr="00AD4A9E">
        <w:rPr>
          <w:rFonts w:ascii="Century Gothic" w:hAnsi="Century Gothic" w:cs="Century Gothic"/>
          <w:sz w:val="24"/>
          <w:szCs w:val="24"/>
        </w:rPr>
        <w:t>ã</w:t>
      </w:r>
      <w:r w:rsidRPr="00AD4A9E">
        <w:rPr>
          <w:rFonts w:ascii="Century Gothic" w:hAnsi="Century Gothic"/>
          <w:sz w:val="24"/>
          <w:szCs w:val="24"/>
        </w:rPr>
        <w:t>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reorganizar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estrutura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AD4A9E">
        <w:rPr>
          <w:rFonts w:ascii="Century Gothic" w:hAnsi="Century Gothic"/>
          <w:sz w:val="24"/>
          <w:szCs w:val="24"/>
        </w:rPr>
        <w:t>administra</w:t>
      </w:r>
      <w:r w:rsidRPr="00AD4A9E">
        <w:rPr>
          <w:rFonts w:ascii="Century Gothic" w:hAnsi="Century Gothic" w:cs="Century Gothic"/>
          <w:sz w:val="24"/>
          <w:szCs w:val="24"/>
        </w:rPr>
        <w:t>çã</w:t>
      </w:r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</w:t>
      </w:r>
      <w:r w:rsidRPr="00AD4A9E">
        <w:rPr>
          <w:rFonts w:ascii="Century Gothic" w:hAnsi="Century Gothic" w:cs="Century Gothic"/>
          <w:sz w:val="24"/>
          <w:szCs w:val="24"/>
        </w:rPr>
        <w:t>ú</w:t>
      </w:r>
      <w:r w:rsidRPr="00AD4A9E">
        <w:rPr>
          <w:rFonts w:ascii="Century Gothic" w:hAnsi="Century Gothic"/>
          <w:sz w:val="24"/>
          <w:szCs w:val="24"/>
        </w:rPr>
        <w:t>blica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6603EEC2" w14:textId="77777777" w:rsidR="00AD4A9E" w:rsidRDefault="00AD4A9E" w:rsidP="00AD4A9E">
      <w:pPr>
        <w:jc w:val="both"/>
        <w:rPr>
          <w:rFonts w:ascii="Century Gothic" w:hAnsi="Century Gothic"/>
          <w:b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lastRenderedPageBreak/>
        <w:t>Esse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entendimento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AD4A9E">
        <w:rPr>
          <w:rFonts w:ascii="Century Gothic" w:hAnsi="Century Gothic"/>
          <w:sz w:val="24"/>
          <w:szCs w:val="24"/>
        </w:rPr>
        <w:t>alinha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caso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do </w:t>
      </w:r>
      <w:proofErr w:type="spellStart"/>
      <w:r w:rsidRPr="00AD4A9E">
        <w:rPr>
          <w:rFonts w:ascii="Century Gothic" w:hAnsi="Century Gothic"/>
          <w:sz w:val="24"/>
          <w:szCs w:val="24"/>
        </w:rPr>
        <w:t>Projeto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Lei nº 268/2025, pois as </w:t>
      </w:r>
      <w:proofErr w:type="spellStart"/>
      <w:r w:rsidRPr="00AD4A9E">
        <w:rPr>
          <w:rFonts w:ascii="Century Gothic" w:hAnsi="Century Gothic"/>
          <w:sz w:val="24"/>
          <w:szCs w:val="24"/>
        </w:rPr>
        <w:t>ações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previstas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AD4A9E">
        <w:rPr>
          <w:rFonts w:ascii="Century Gothic" w:hAnsi="Century Gothic"/>
          <w:sz w:val="24"/>
          <w:szCs w:val="24"/>
        </w:rPr>
        <w:t>cadastramento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monitoramento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etc.) </w:t>
      </w:r>
      <w:proofErr w:type="spellStart"/>
      <w:r w:rsidRPr="00AD4A9E">
        <w:rPr>
          <w:rFonts w:ascii="Century Gothic" w:hAnsi="Century Gothic"/>
          <w:sz w:val="24"/>
          <w:szCs w:val="24"/>
        </w:rPr>
        <w:t>dependem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regulamentação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cooperação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antes de </w:t>
      </w:r>
      <w:proofErr w:type="spellStart"/>
      <w:r w:rsidRPr="00AD4A9E">
        <w:rPr>
          <w:rFonts w:ascii="Century Gothic" w:hAnsi="Century Gothic"/>
          <w:sz w:val="24"/>
          <w:szCs w:val="24"/>
        </w:rPr>
        <w:t>gerar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despesas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efetivas</w:t>
      </w:r>
      <w:proofErr w:type="spellEnd"/>
      <w:r w:rsidRPr="00AD4A9E">
        <w:rPr>
          <w:rFonts w:ascii="Century Gothic" w:hAnsi="Century Gothic"/>
          <w:sz w:val="24"/>
          <w:szCs w:val="24"/>
        </w:rPr>
        <w:t>.</w:t>
      </w:r>
      <w:r w:rsidRPr="00AD4A9E">
        <w:rPr>
          <w:rFonts w:ascii="Century Gothic" w:hAnsi="Century Gothic"/>
          <w:b/>
          <w:sz w:val="24"/>
          <w:szCs w:val="24"/>
        </w:rPr>
        <w:t xml:space="preserve"> </w:t>
      </w:r>
    </w:p>
    <w:p w14:paraId="4694732A" w14:textId="77777777" w:rsidR="00AD4A9E" w:rsidRDefault="00AD4A9E" w:rsidP="00AD4A9E">
      <w:pPr>
        <w:jc w:val="both"/>
        <w:rPr>
          <w:rFonts w:ascii="Century Gothic" w:hAnsi="Century Gothic"/>
          <w:b/>
          <w:sz w:val="24"/>
          <w:szCs w:val="24"/>
        </w:rPr>
      </w:pPr>
    </w:p>
    <w:p w14:paraId="0AE75221" w14:textId="2C63E021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 xml:space="preserve">3. Respeito </w:t>
      </w:r>
      <w:proofErr w:type="spellStart"/>
      <w:r w:rsidRPr="00AD4A9E">
        <w:rPr>
          <w:rFonts w:ascii="Century Gothic" w:hAnsi="Century Gothic"/>
          <w:b/>
          <w:sz w:val="24"/>
          <w:szCs w:val="24"/>
        </w:rPr>
        <w:t>ao</w:t>
      </w:r>
      <w:proofErr w:type="spellEnd"/>
      <w:r w:rsidRPr="00AD4A9E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b/>
          <w:sz w:val="24"/>
          <w:szCs w:val="24"/>
        </w:rPr>
        <w:t>direito</w:t>
      </w:r>
      <w:proofErr w:type="spellEnd"/>
      <w:r w:rsidRPr="00AD4A9E">
        <w:rPr>
          <w:rFonts w:ascii="Century Gothic" w:hAnsi="Century Gothic"/>
          <w:b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b/>
          <w:sz w:val="24"/>
          <w:szCs w:val="24"/>
        </w:rPr>
        <w:t>propriedade</w:t>
      </w:r>
      <w:proofErr w:type="spellEnd"/>
      <w:r w:rsidR="00AD4A9E">
        <w:rPr>
          <w:rFonts w:ascii="Century Gothic" w:hAnsi="Century Gothic"/>
          <w:b/>
          <w:sz w:val="24"/>
          <w:szCs w:val="24"/>
        </w:rPr>
        <w:t xml:space="preserve"> e </w:t>
      </w:r>
      <w:proofErr w:type="spellStart"/>
      <w:r w:rsidR="00AD4A9E">
        <w:rPr>
          <w:rFonts w:ascii="Century Gothic" w:hAnsi="Century Gothic"/>
          <w:b/>
          <w:sz w:val="24"/>
          <w:szCs w:val="24"/>
        </w:rPr>
        <w:t>poder</w:t>
      </w:r>
      <w:proofErr w:type="spellEnd"/>
      <w:r w:rsidR="00AD4A9E">
        <w:rPr>
          <w:rFonts w:ascii="Century Gothic" w:hAnsi="Century Gothic"/>
          <w:b/>
          <w:sz w:val="24"/>
          <w:szCs w:val="24"/>
        </w:rPr>
        <w:t xml:space="preserve"> de </w:t>
      </w:r>
      <w:proofErr w:type="spellStart"/>
      <w:r w:rsidR="00AD4A9E">
        <w:rPr>
          <w:rFonts w:ascii="Century Gothic" w:hAnsi="Century Gothic"/>
          <w:b/>
          <w:sz w:val="24"/>
          <w:szCs w:val="24"/>
        </w:rPr>
        <w:t>polícia</w:t>
      </w:r>
      <w:proofErr w:type="spellEnd"/>
    </w:p>
    <w:p w14:paraId="49B3DFED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No que se </w:t>
      </w:r>
      <w:proofErr w:type="spellStart"/>
      <w:r w:rsidRPr="00AD4A9E">
        <w:rPr>
          <w:rFonts w:ascii="Century Gothic" w:hAnsi="Century Gothic"/>
          <w:sz w:val="24"/>
          <w:szCs w:val="24"/>
        </w:rPr>
        <w:t>refere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interesse </w:t>
      </w:r>
      <w:proofErr w:type="spellStart"/>
      <w:r w:rsidRPr="00AD4A9E">
        <w:rPr>
          <w:rFonts w:ascii="Century Gothic" w:hAnsi="Century Gothic"/>
          <w:sz w:val="24"/>
          <w:szCs w:val="24"/>
        </w:rPr>
        <w:t>coletivo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proteção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ambiental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o STF </w:t>
      </w:r>
      <w:proofErr w:type="spellStart"/>
      <w:r w:rsidRPr="00AD4A9E">
        <w:rPr>
          <w:rFonts w:ascii="Century Gothic" w:hAnsi="Century Gothic"/>
          <w:sz w:val="24"/>
          <w:szCs w:val="24"/>
        </w:rPr>
        <w:t>já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consolidou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entendimento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segundo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o qual </w:t>
      </w:r>
      <w:proofErr w:type="spellStart"/>
      <w:r w:rsidRPr="00AD4A9E">
        <w:rPr>
          <w:rFonts w:ascii="Century Gothic" w:hAnsi="Century Gothic"/>
          <w:sz w:val="24"/>
          <w:szCs w:val="24"/>
        </w:rPr>
        <w:t>medidas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restritivas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razoáveis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sobre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uso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AD4A9E">
        <w:rPr>
          <w:rFonts w:ascii="Century Gothic" w:hAnsi="Century Gothic"/>
          <w:sz w:val="24"/>
          <w:szCs w:val="24"/>
        </w:rPr>
        <w:t>propriedade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privada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constitucionais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desde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respeitados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princípios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AD4A9E">
        <w:rPr>
          <w:rFonts w:ascii="Century Gothic" w:hAnsi="Century Gothic"/>
          <w:sz w:val="24"/>
          <w:szCs w:val="24"/>
        </w:rPr>
        <w:t>legalidade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proporcionalidade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devido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processo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legal.</w:t>
      </w:r>
    </w:p>
    <w:p w14:paraId="340BED42" w14:textId="31C05678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t>Além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disso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a </w:t>
      </w:r>
      <w:proofErr w:type="spellStart"/>
      <w:r w:rsidRPr="00AD4A9E">
        <w:rPr>
          <w:rFonts w:ascii="Century Gothic" w:hAnsi="Century Gothic"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para </w:t>
      </w:r>
      <w:proofErr w:type="spellStart"/>
      <w:r w:rsidRPr="00AD4A9E">
        <w:rPr>
          <w:rFonts w:ascii="Century Gothic" w:hAnsi="Century Gothic"/>
          <w:sz w:val="24"/>
          <w:szCs w:val="24"/>
        </w:rPr>
        <w:t>legislar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matéria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ambiental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está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assegurada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à </w:t>
      </w:r>
      <w:proofErr w:type="spellStart"/>
      <w:r w:rsidRPr="00AD4A9E">
        <w:rPr>
          <w:rFonts w:ascii="Century Gothic" w:hAnsi="Century Gothic"/>
          <w:sz w:val="24"/>
          <w:szCs w:val="24"/>
        </w:rPr>
        <w:t>União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Estados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Municípios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sistema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repartição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compartilhada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(arts. 23 VI e 24 VI da CF), o que </w:t>
      </w:r>
      <w:proofErr w:type="spellStart"/>
      <w:r w:rsidRPr="00AD4A9E">
        <w:rPr>
          <w:rFonts w:ascii="Century Gothic" w:hAnsi="Century Gothic"/>
          <w:sz w:val="24"/>
          <w:szCs w:val="24"/>
        </w:rPr>
        <w:t>legitima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iniciativas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locais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mesmo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AD4A9E">
        <w:rPr>
          <w:rFonts w:ascii="Century Gothic" w:hAnsi="Century Gothic"/>
          <w:sz w:val="24"/>
          <w:szCs w:val="24"/>
        </w:rPr>
        <w:t>mais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protetivas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normas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gerais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AD4A9E">
        <w:rPr>
          <w:rFonts w:ascii="Century Gothic" w:hAnsi="Century Gothic"/>
          <w:sz w:val="24"/>
          <w:szCs w:val="24"/>
        </w:rPr>
        <w:t>federais</w:t>
      </w:r>
      <w:proofErr w:type="spellEnd"/>
      <w:r w:rsidRPr="00AD4A9E">
        <w:rPr>
          <w:rFonts w:ascii="Arial" w:hAnsi="Arial" w:cs="Arial"/>
          <w:sz w:val="24"/>
          <w:szCs w:val="24"/>
        </w:rPr>
        <w:t> </w:t>
      </w:r>
      <w:r w:rsidRPr="00AD4A9E">
        <w:rPr>
          <w:rFonts w:ascii="Century Gothic" w:hAnsi="Century Gothic"/>
          <w:sz w:val="24"/>
          <w:szCs w:val="24"/>
        </w:rPr>
        <w:t>.</w:t>
      </w:r>
      <w:proofErr w:type="gramEnd"/>
    </w:p>
    <w:p w14:paraId="4EC1F965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No </w:t>
      </w:r>
      <w:proofErr w:type="spellStart"/>
      <w:r w:rsidRPr="00AD4A9E">
        <w:rPr>
          <w:rFonts w:ascii="Century Gothic" w:hAnsi="Century Gothic"/>
          <w:sz w:val="24"/>
          <w:szCs w:val="24"/>
        </w:rPr>
        <w:t>próprio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Informativo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STF 1096, por </w:t>
      </w:r>
      <w:proofErr w:type="spellStart"/>
      <w:r w:rsidRPr="00AD4A9E">
        <w:rPr>
          <w:rFonts w:ascii="Century Gothic" w:hAnsi="Century Gothic"/>
          <w:sz w:val="24"/>
          <w:szCs w:val="24"/>
        </w:rPr>
        <w:t>exemplo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foi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reconhecida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AD4A9E">
        <w:rPr>
          <w:rFonts w:ascii="Century Gothic" w:hAnsi="Century Gothic"/>
          <w:sz w:val="24"/>
          <w:szCs w:val="24"/>
        </w:rPr>
        <w:t>constitucionalidade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lei </w:t>
      </w:r>
      <w:proofErr w:type="spellStart"/>
      <w:r w:rsidRPr="00AD4A9E">
        <w:rPr>
          <w:rFonts w:ascii="Century Gothic" w:hAnsi="Century Gothic"/>
          <w:sz w:val="24"/>
          <w:szCs w:val="24"/>
        </w:rPr>
        <w:t>estadual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proibiu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pulverização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aérea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agrotóxicos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razão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peculiaridades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locais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— </w:t>
      </w:r>
      <w:proofErr w:type="spellStart"/>
      <w:r w:rsidRPr="00AD4A9E">
        <w:rPr>
          <w:rFonts w:ascii="Century Gothic" w:hAnsi="Century Gothic"/>
          <w:sz w:val="24"/>
          <w:szCs w:val="24"/>
        </w:rPr>
        <w:t>uma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norma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protegida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do que </w:t>
      </w:r>
      <w:proofErr w:type="spellStart"/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texto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federal — e </w:t>
      </w:r>
      <w:proofErr w:type="spellStart"/>
      <w:r w:rsidRPr="00AD4A9E">
        <w:rPr>
          <w:rFonts w:ascii="Century Gothic" w:hAnsi="Century Gothic"/>
          <w:sz w:val="24"/>
          <w:szCs w:val="24"/>
        </w:rPr>
        <w:t>ainda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assim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considerada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proporcional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legitima</w:t>
      </w:r>
      <w:proofErr w:type="spellEnd"/>
      <w:r w:rsidRPr="00AD4A9E">
        <w:rPr>
          <w:rFonts w:ascii="Arial" w:hAnsi="Arial" w:cs="Arial"/>
          <w:sz w:val="24"/>
          <w:szCs w:val="24"/>
        </w:rPr>
        <w:t> </w:t>
      </w:r>
    </w:p>
    <w:p w14:paraId="6B9DFC3D" w14:textId="77777777" w:rsidR="00AD4A9E" w:rsidRDefault="00AD4A9E" w:rsidP="00AD4A9E">
      <w:pPr>
        <w:jc w:val="both"/>
        <w:rPr>
          <w:rFonts w:ascii="Century Gothic" w:hAnsi="Century Gothic"/>
          <w:b/>
          <w:sz w:val="24"/>
          <w:szCs w:val="24"/>
        </w:rPr>
      </w:pPr>
      <w:proofErr w:type="spellStart"/>
      <w:r w:rsidRPr="00AD4A9E">
        <w:rPr>
          <w:rFonts w:ascii="Century Gothic" w:hAnsi="Century Gothic"/>
          <w:sz w:val="24"/>
          <w:szCs w:val="24"/>
        </w:rPr>
        <w:t>Esses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precedentes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corroboram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ideia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que </w:t>
      </w:r>
      <w:proofErr w:type="spellStart"/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projeto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municipal, </w:t>
      </w:r>
      <w:proofErr w:type="spellStart"/>
      <w:r w:rsidRPr="00AD4A9E">
        <w:rPr>
          <w:rFonts w:ascii="Century Gothic" w:hAnsi="Century Gothic"/>
          <w:sz w:val="24"/>
          <w:szCs w:val="24"/>
        </w:rPr>
        <w:t>ao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autorizar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medidas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identificação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sz w:val="24"/>
          <w:szCs w:val="24"/>
        </w:rPr>
        <w:t>georreferenciamento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nascentes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APPs, </w:t>
      </w:r>
      <w:proofErr w:type="spellStart"/>
      <w:r w:rsidRPr="00AD4A9E">
        <w:rPr>
          <w:rFonts w:ascii="Century Gothic" w:hAnsi="Century Gothic"/>
          <w:sz w:val="24"/>
          <w:szCs w:val="24"/>
        </w:rPr>
        <w:t>não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viola o </w:t>
      </w:r>
      <w:proofErr w:type="spellStart"/>
      <w:r w:rsidRPr="00AD4A9E">
        <w:rPr>
          <w:rFonts w:ascii="Century Gothic" w:hAnsi="Century Gothic"/>
          <w:sz w:val="24"/>
          <w:szCs w:val="24"/>
        </w:rPr>
        <w:t>direito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propriedade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desde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observadas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garantias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legais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e se evite </w:t>
      </w:r>
      <w:proofErr w:type="spellStart"/>
      <w:r w:rsidRPr="00AD4A9E">
        <w:rPr>
          <w:rFonts w:ascii="Century Gothic" w:hAnsi="Century Gothic"/>
          <w:sz w:val="24"/>
          <w:szCs w:val="24"/>
        </w:rPr>
        <w:t>coerção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indevida</w:t>
      </w:r>
      <w:proofErr w:type="spellEnd"/>
      <w:r w:rsidRPr="00AD4A9E">
        <w:rPr>
          <w:rFonts w:ascii="Century Gothic" w:hAnsi="Century Gothic"/>
          <w:sz w:val="24"/>
          <w:szCs w:val="24"/>
        </w:rPr>
        <w:t>.</w:t>
      </w:r>
      <w:r w:rsidRPr="00AD4A9E">
        <w:rPr>
          <w:rFonts w:ascii="Century Gothic" w:hAnsi="Century Gothic"/>
          <w:b/>
          <w:sz w:val="24"/>
          <w:szCs w:val="24"/>
        </w:rPr>
        <w:t xml:space="preserve"> </w:t>
      </w:r>
    </w:p>
    <w:p w14:paraId="5E4A777F" w14:textId="77777777" w:rsidR="00AD4A9E" w:rsidRDefault="00AD4A9E" w:rsidP="00AD4A9E">
      <w:pPr>
        <w:jc w:val="both"/>
        <w:rPr>
          <w:rFonts w:ascii="Century Gothic" w:hAnsi="Century Gothic"/>
          <w:b/>
          <w:sz w:val="24"/>
          <w:szCs w:val="24"/>
        </w:rPr>
      </w:pPr>
    </w:p>
    <w:p w14:paraId="57BA9069" w14:textId="5B0404C2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 xml:space="preserve">4. </w:t>
      </w:r>
      <w:r w:rsidR="00AD4A9E" w:rsidRPr="00AD4A9E">
        <w:rPr>
          <w:rFonts w:ascii="Century Gothic" w:hAnsi="Century Gothic"/>
          <w:b/>
          <w:sz w:val="24"/>
          <w:szCs w:val="24"/>
        </w:rPr>
        <w:t xml:space="preserve">Interesse local e </w:t>
      </w:r>
      <w:proofErr w:type="spellStart"/>
      <w:r w:rsidR="00AD4A9E" w:rsidRPr="00AD4A9E">
        <w:rPr>
          <w:rFonts w:ascii="Century Gothic" w:hAnsi="Century Gothic"/>
          <w:b/>
          <w:sz w:val="24"/>
          <w:szCs w:val="24"/>
        </w:rPr>
        <w:t>competência</w:t>
      </w:r>
      <w:proofErr w:type="spellEnd"/>
      <w:r w:rsidR="00AD4A9E" w:rsidRPr="00AD4A9E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AD4A9E" w:rsidRPr="00AD4A9E">
        <w:rPr>
          <w:rFonts w:ascii="Century Gothic" w:hAnsi="Century Gothic"/>
          <w:b/>
          <w:sz w:val="24"/>
          <w:szCs w:val="24"/>
        </w:rPr>
        <w:t>legislativa</w:t>
      </w:r>
      <w:proofErr w:type="spellEnd"/>
      <w:r w:rsidR="00AD4A9E" w:rsidRPr="00AD4A9E">
        <w:rPr>
          <w:rFonts w:ascii="Century Gothic" w:hAnsi="Century Gothic"/>
          <w:b/>
          <w:sz w:val="24"/>
          <w:szCs w:val="24"/>
        </w:rPr>
        <w:t xml:space="preserve"> municipal</w:t>
      </w:r>
    </w:p>
    <w:p w14:paraId="7FA73F11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A </w:t>
      </w:r>
      <w:proofErr w:type="spellStart"/>
      <w:r w:rsidRPr="00AD4A9E">
        <w:rPr>
          <w:rFonts w:ascii="Century Gothic" w:hAnsi="Century Gothic"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ambiental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municipal, </w:t>
      </w:r>
      <w:proofErr w:type="spellStart"/>
      <w:r w:rsidRPr="00AD4A9E">
        <w:rPr>
          <w:rFonts w:ascii="Century Gothic" w:hAnsi="Century Gothic"/>
          <w:sz w:val="24"/>
          <w:szCs w:val="24"/>
        </w:rPr>
        <w:t>prevista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no art. 30, </w:t>
      </w:r>
      <w:proofErr w:type="spellStart"/>
      <w:r w:rsidRPr="00AD4A9E">
        <w:rPr>
          <w:rFonts w:ascii="Century Gothic" w:hAnsi="Century Gothic"/>
          <w:sz w:val="24"/>
          <w:szCs w:val="24"/>
        </w:rPr>
        <w:t>incisos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I e II, da </w:t>
      </w:r>
      <w:proofErr w:type="spellStart"/>
      <w:r w:rsidRPr="00AD4A9E">
        <w:rPr>
          <w:rFonts w:ascii="Century Gothic" w:hAnsi="Century Gothic"/>
          <w:sz w:val="24"/>
          <w:szCs w:val="24"/>
        </w:rPr>
        <w:t>Constituição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Federal, </w:t>
      </w:r>
      <w:proofErr w:type="spellStart"/>
      <w:r w:rsidRPr="00AD4A9E">
        <w:rPr>
          <w:rFonts w:ascii="Century Gothic" w:hAnsi="Century Gothic"/>
          <w:sz w:val="24"/>
          <w:szCs w:val="24"/>
        </w:rPr>
        <w:t>permite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que </w:t>
      </w:r>
      <w:proofErr w:type="spellStart"/>
      <w:r w:rsidRPr="00AD4A9E">
        <w:rPr>
          <w:rFonts w:ascii="Century Gothic" w:hAnsi="Century Gothic"/>
          <w:sz w:val="24"/>
          <w:szCs w:val="24"/>
        </w:rPr>
        <w:t>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município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legisle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sobre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assuntos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interesse local e </w:t>
      </w:r>
      <w:proofErr w:type="spellStart"/>
      <w:r w:rsidRPr="00AD4A9E">
        <w:rPr>
          <w:rFonts w:ascii="Century Gothic" w:hAnsi="Century Gothic"/>
          <w:sz w:val="24"/>
          <w:szCs w:val="24"/>
        </w:rPr>
        <w:t>suplementar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AD4A9E">
        <w:rPr>
          <w:rFonts w:ascii="Century Gothic" w:hAnsi="Century Gothic"/>
          <w:sz w:val="24"/>
          <w:szCs w:val="24"/>
        </w:rPr>
        <w:t>legislação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federal e </w:t>
      </w:r>
      <w:proofErr w:type="spellStart"/>
      <w:r w:rsidRPr="00AD4A9E">
        <w:rPr>
          <w:rFonts w:ascii="Century Gothic" w:hAnsi="Century Gothic"/>
          <w:sz w:val="24"/>
          <w:szCs w:val="24"/>
        </w:rPr>
        <w:t>estadual</w:t>
      </w:r>
      <w:proofErr w:type="spellEnd"/>
      <w:r w:rsidRPr="00AD4A9E">
        <w:rPr>
          <w:rFonts w:ascii="Century Gothic" w:hAnsi="Century Gothic"/>
          <w:sz w:val="24"/>
          <w:szCs w:val="24"/>
        </w:rPr>
        <w:t>.</w:t>
      </w:r>
    </w:p>
    <w:p w14:paraId="7459A29A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O STF </w:t>
      </w:r>
      <w:proofErr w:type="spellStart"/>
      <w:r w:rsidRPr="00AD4A9E">
        <w:rPr>
          <w:rFonts w:ascii="Century Gothic" w:hAnsi="Century Gothic"/>
          <w:sz w:val="24"/>
          <w:szCs w:val="24"/>
        </w:rPr>
        <w:t>tem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reiterado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essa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jurisprudência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diversos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julgados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AD4A9E">
        <w:rPr>
          <w:rFonts w:ascii="Century Gothic" w:hAnsi="Century Gothic"/>
          <w:sz w:val="24"/>
          <w:szCs w:val="24"/>
        </w:rPr>
        <w:t>incluindo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ADI 3.338/DF, </w:t>
      </w:r>
      <w:proofErr w:type="spellStart"/>
      <w:r w:rsidRPr="00AD4A9E">
        <w:rPr>
          <w:rFonts w:ascii="Century Gothic" w:hAnsi="Century Gothic"/>
          <w:sz w:val="24"/>
          <w:szCs w:val="24"/>
        </w:rPr>
        <w:t>na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qual o </w:t>
      </w:r>
      <w:proofErr w:type="spellStart"/>
      <w:r w:rsidRPr="00AD4A9E">
        <w:rPr>
          <w:rFonts w:ascii="Century Gothic" w:hAnsi="Century Gothic"/>
          <w:sz w:val="24"/>
          <w:szCs w:val="24"/>
        </w:rPr>
        <w:t>então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relator </w:t>
      </w:r>
      <w:proofErr w:type="spellStart"/>
      <w:r w:rsidRPr="00AD4A9E">
        <w:rPr>
          <w:rFonts w:ascii="Century Gothic" w:hAnsi="Century Gothic"/>
          <w:sz w:val="24"/>
          <w:szCs w:val="24"/>
        </w:rPr>
        <w:t>Ministro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Ayres Britto </w:t>
      </w:r>
      <w:proofErr w:type="spellStart"/>
      <w:r w:rsidRPr="00AD4A9E">
        <w:rPr>
          <w:rFonts w:ascii="Century Gothic" w:hAnsi="Century Gothic"/>
          <w:sz w:val="24"/>
          <w:szCs w:val="24"/>
        </w:rPr>
        <w:t>afirmou</w:t>
      </w:r>
      <w:proofErr w:type="spellEnd"/>
      <w:r w:rsidRPr="00AD4A9E">
        <w:rPr>
          <w:rFonts w:ascii="Century Gothic" w:hAnsi="Century Gothic"/>
          <w:sz w:val="24"/>
          <w:szCs w:val="24"/>
        </w:rPr>
        <w:t>:</w:t>
      </w:r>
    </w:p>
    <w:p w14:paraId="2DBFE349" w14:textId="77777777" w:rsidR="00AD4A9E" w:rsidRPr="00AD4A9E" w:rsidRDefault="00AD4A9E" w:rsidP="00AD4A9E">
      <w:pPr>
        <w:jc w:val="both"/>
        <w:rPr>
          <w:rFonts w:ascii="Century Gothic" w:hAnsi="Century Gothic"/>
          <w:sz w:val="24"/>
          <w:szCs w:val="24"/>
        </w:rPr>
      </w:pPr>
    </w:p>
    <w:p w14:paraId="357F2C61" w14:textId="77777777" w:rsidR="00AD4A9E" w:rsidRPr="00AD4A9E" w:rsidRDefault="00AD4A9E" w:rsidP="00AD4A9E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AD4A9E">
        <w:rPr>
          <w:rFonts w:ascii="Century Gothic" w:hAnsi="Century Gothic"/>
          <w:i/>
          <w:iCs/>
          <w:sz w:val="24"/>
          <w:szCs w:val="24"/>
        </w:rPr>
        <w:lastRenderedPageBreak/>
        <w:t>“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Além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de a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Constituição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conferir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a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material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aos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Estados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e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Municípios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para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proteger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o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meio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ambiente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e combater a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poluição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em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qualquer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suas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formas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(art. 23, VI),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ela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também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confere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legislativa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expressamente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(art. 24, </w:t>
      </w:r>
      <w:proofErr w:type="spellStart"/>
      <w:r w:rsidRPr="00AD4A9E">
        <w:rPr>
          <w:rFonts w:ascii="Century Gothic" w:hAnsi="Century Gothic"/>
          <w:i/>
          <w:iCs/>
          <w:sz w:val="24"/>
          <w:szCs w:val="24"/>
        </w:rPr>
        <w:t>inciso</w:t>
      </w:r>
      <w:proofErr w:type="spellEnd"/>
      <w:r w:rsidRPr="00AD4A9E">
        <w:rPr>
          <w:rFonts w:ascii="Century Gothic" w:hAnsi="Century Gothic"/>
          <w:i/>
          <w:iCs/>
          <w:sz w:val="24"/>
          <w:szCs w:val="24"/>
        </w:rPr>
        <w:t xml:space="preserve"> VI).”</w:t>
      </w:r>
      <w:r w:rsidRPr="00AD4A9E">
        <w:rPr>
          <w:rFonts w:ascii="Arial" w:hAnsi="Arial" w:cs="Arial"/>
          <w:i/>
          <w:iCs/>
          <w:sz w:val="24"/>
          <w:szCs w:val="24"/>
        </w:rPr>
        <w:t> </w:t>
      </w:r>
    </w:p>
    <w:p w14:paraId="51C22DD5" w14:textId="77777777" w:rsidR="00463B93" w:rsidRDefault="00AD4A9E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 xml:space="preserve">Dessa forma, </w:t>
      </w:r>
      <w:proofErr w:type="gramStart"/>
      <w:r w:rsidRPr="00AD4A9E">
        <w:rPr>
          <w:rFonts w:ascii="Century Gothic" w:hAnsi="Century Gothic"/>
          <w:sz w:val="24"/>
          <w:szCs w:val="24"/>
        </w:rPr>
        <w:t>a</w:t>
      </w:r>
      <w:proofErr w:type="gram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atuação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legislativa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AD4A9E">
        <w:rPr>
          <w:rFonts w:ascii="Century Gothic" w:hAnsi="Century Gothic"/>
          <w:sz w:val="24"/>
          <w:szCs w:val="24"/>
        </w:rPr>
        <w:t>Câmara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Municipal de </w:t>
      </w:r>
      <w:proofErr w:type="spellStart"/>
      <w:r w:rsidRPr="00AD4A9E">
        <w:rPr>
          <w:rFonts w:ascii="Century Gothic" w:hAnsi="Century Gothic"/>
          <w:sz w:val="24"/>
          <w:szCs w:val="24"/>
        </w:rPr>
        <w:t>Sete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Lagoas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para </w:t>
      </w:r>
      <w:proofErr w:type="spellStart"/>
      <w:r w:rsidRPr="00AD4A9E">
        <w:rPr>
          <w:rFonts w:ascii="Century Gothic" w:hAnsi="Century Gothic"/>
          <w:sz w:val="24"/>
          <w:szCs w:val="24"/>
        </w:rPr>
        <w:t>cuidar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nascentes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integra </w:t>
      </w:r>
      <w:proofErr w:type="spellStart"/>
      <w:r w:rsidRPr="00AD4A9E">
        <w:rPr>
          <w:rFonts w:ascii="Century Gothic" w:hAnsi="Century Gothic"/>
          <w:sz w:val="24"/>
          <w:szCs w:val="24"/>
        </w:rPr>
        <w:t>diretamente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seu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âmbito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AD4A9E">
        <w:rPr>
          <w:rFonts w:ascii="Century Gothic" w:hAnsi="Century Gothic"/>
          <w:sz w:val="24"/>
          <w:szCs w:val="24"/>
        </w:rPr>
        <w:t>competência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local.</w:t>
      </w:r>
    </w:p>
    <w:p w14:paraId="27B36A6E" w14:textId="77777777" w:rsidR="00463B93" w:rsidRDefault="00463B93" w:rsidP="00AD4A9E">
      <w:pPr>
        <w:jc w:val="both"/>
        <w:rPr>
          <w:rFonts w:ascii="Century Gothic" w:hAnsi="Century Gothic"/>
          <w:b/>
          <w:sz w:val="24"/>
          <w:szCs w:val="24"/>
        </w:rPr>
      </w:pPr>
    </w:p>
    <w:p w14:paraId="31C6D33E" w14:textId="41926181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>IV – CONCLUSÃO</w:t>
      </w:r>
    </w:p>
    <w:p w14:paraId="33A2C6F1" w14:textId="77777777" w:rsidR="004D7CE2" w:rsidRPr="00AD4A9E" w:rsidRDefault="00463B93" w:rsidP="00AD4A9E">
      <w:pPr>
        <w:jc w:val="both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>Diante de todo o exposto, esta Comissão entende que as razões apresentadas no veto total não subsistem e que o Projeto de Lei nº 268/2025 está em perfeita conformidade com os princí</w:t>
      </w:r>
      <w:r w:rsidRPr="00AD4A9E">
        <w:rPr>
          <w:rFonts w:ascii="Century Gothic" w:hAnsi="Century Gothic"/>
          <w:sz w:val="24"/>
          <w:szCs w:val="24"/>
        </w:rPr>
        <w:t>pios constitucionais da proteção ao meio ambiente, do interesse local, da função social da propriedade e da sustentabilidade.</w:t>
      </w:r>
      <w:r w:rsidRPr="00AD4A9E">
        <w:rPr>
          <w:rFonts w:ascii="Century Gothic" w:hAnsi="Century Gothic"/>
          <w:sz w:val="24"/>
          <w:szCs w:val="24"/>
        </w:rPr>
        <w:br/>
        <w:t xml:space="preserve">Dessa forma, </w:t>
      </w:r>
      <w:proofErr w:type="spellStart"/>
      <w:r w:rsidRPr="00AD4A9E">
        <w:rPr>
          <w:rFonts w:ascii="Century Gothic" w:hAnsi="Century Gothic"/>
          <w:sz w:val="24"/>
          <w:szCs w:val="24"/>
        </w:rPr>
        <w:t>manifestamos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nosso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parecer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r w:rsidRPr="00AD4A9E">
        <w:rPr>
          <w:rFonts w:ascii="Century Gothic" w:hAnsi="Century Gothic"/>
          <w:b/>
          <w:bCs/>
          <w:sz w:val="24"/>
          <w:szCs w:val="24"/>
        </w:rPr>
        <w:t>PELA REJEIÇÃO DO VETO TOTAL</w:t>
      </w:r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ao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D4A9E">
        <w:rPr>
          <w:rFonts w:ascii="Century Gothic" w:hAnsi="Century Gothic"/>
          <w:sz w:val="24"/>
          <w:szCs w:val="24"/>
        </w:rPr>
        <w:t>Projeto</w:t>
      </w:r>
      <w:proofErr w:type="spellEnd"/>
      <w:r w:rsidRPr="00AD4A9E">
        <w:rPr>
          <w:rFonts w:ascii="Century Gothic" w:hAnsi="Century Gothic"/>
          <w:sz w:val="24"/>
          <w:szCs w:val="24"/>
        </w:rPr>
        <w:t xml:space="preserve"> de Lei nº 268/2025.</w:t>
      </w:r>
    </w:p>
    <w:p w14:paraId="06B6E817" w14:textId="2906CC43" w:rsidR="004D7CE2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br/>
        <w:t xml:space="preserve">Sala das Sessões, 09 de julho </w:t>
      </w:r>
      <w:r w:rsidRPr="00AD4A9E">
        <w:rPr>
          <w:rFonts w:ascii="Century Gothic" w:hAnsi="Century Gothic"/>
          <w:sz w:val="24"/>
          <w:szCs w:val="24"/>
        </w:rPr>
        <w:t>de 2025.</w:t>
      </w:r>
      <w:r w:rsidRPr="00AD4A9E">
        <w:rPr>
          <w:rFonts w:ascii="Century Gothic" w:hAnsi="Century Gothic"/>
          <w:sz w:val="24"/>
          <w:szCs w:val="24"/>
        </w:rPr>
        <w:br/>
      </w:r>
    </w:p>
    <w:p w14:paraId="04D6F911" w14:textId="77777777" w:rsidR="00463B93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</w:p>
    <w:p w14:paraId="31F27A58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t>IVSON GOMES DE CASTRO</w:t>
      </w:r>
    </w:p>
    <w:p w14:paraId="3E4C6074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>Relator</w:t>
      </w:r>
    </w:p>
    <w:p w14:paraId="131D1DDB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br/>
        <w:t>MARCELO PIRES RODRIGUES</w:t>
      </w:r>
    </w:p>
    <w:p w14:paraId="5F0F1A9F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>Membro</w:t>
      </w:r>
    </w:p>
    <w:p w14:paraId="617D2B37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b/>
          <w:sz w:val="24"/>
          <w:szCs w:val="24"/>
        </w:rPr>
        <w:br/>
        <w:t>ERALDO CHAMONE MARQUES</w:t>
      </w:r>
    </w:p>
    <w:p w14:paraId="19EFB493" w14:textId="77777777" w:rsidR="004D7CE2" w:rsidRPr="00AD4A9E" w:rsidRDefault="00463B93" w:rsidP="00AD4A9E">
      <w:pPr>
        <w:jc w:val="center"/>
        <w:rPr>
          <w:rFonts w:ascii="Century Gothic" w:hAnsi="Century Gothic"/>
          <w:sz w:val="24"/>
          <w:szCs w:val="24"/>
        </w:rPr>
      </w:pPr>
      <w:r w:rsidRPr="00AD4A9E">
        <w:rPr>
          <w:rFonts w:ascii="Century Gothic" w:hAnsi="Century Gothic"/>
          <w:sz w:val="24"/>
          <w:szCs w:val="24"/>
        </w:rPr>
        <w:t>Presidente</w:t>
      </w:r>
    </w:p>
    <w:sectPr w:rsidR="004D7CE2" w:rsidRPr="00AD4A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D52976"/>
    <w:multiLevelType w:val="hybridMultilevel"/>
    <w:tmpl w:val="DA0C993E"/>
    <w:lvl w:ilvl="0" w:tplc="9004897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3B93"/>
    <w:rsid w:val="004D7CE2"/>
    <w:rsid w:val="00AA1D8D"/>
    <w:rsid w:val="00AD4A9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1B909"/>
  <w14:defaultImageDpi w14:val="300"/>
  <w15:docId w15:val="{C81B735A-0828-410C-A1BF-68E081DE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2025-07-14T12:01:00Z</dcterms:created>
  <dcterms:modified xsi:type="dcterms:W3CDTF">2025-07-14T12:01:00Z</dcterms:modified>
  <cp:category/>
</cp:coreProperties>
</file>