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2234" w14:textId="1052C6CD" w:rsidR="0059265E" w:rsidRPr="00590BB9" w:rsidRDefault="0059265E" w:rsidP="0059265E">
      <w:pPr>
        <w:spacing w:line="288" w:lineRule="auto"/>
        <w:ind w:right="3399"/>
        <w:rPr>
          <w:rFonts w:ascii="Arial Narrow" w:hAnsi="Arial Narrow"/>
          <w:b/>
          <w:spacing w:val="72"/>
          <w:w w:val="110"/>
          <w:sz w:val="22"/>
          <w:szCs w:val="22"/>
          <w:u w:val="thick"/>
        </w:rPr>
      </w:pPr>
      <w:bookmarkStart w:id="0" w:name="_Hlk146097230"/>
      <w:r w:rsidRPr="00590BB9">
        <w:rPr>
          <w:rFonts w:ascii="Arial Narrow" w:hAnsi="Arial Narrow"/>
          <w:b/>
          <w:w w:val="110"/>
          <w:sz w:val="22"/>
          <w:szCs w:val="22"/>
          <w:u w:val="thick"/>
        </w:rPr>
        <w:t>Parecer</w:t>
      </w:r>
      <w:r w:rsidRPr="00590BB9">
        <w:rPr>
          <w:rFonts w:ascii="Arial Narrow" w:hAnsi="Arial Narrow"/>
          <w:b/>
          <w:spacing w:val="40"/>
          <w:w w:val="110"/>
          <w:sz w:val="22"/>
          <w:szCs w:val="22"/>
          <w:u w:val="thick"/>
        </w:rPr>
        <w:t xml:space="preserve"> </w:t>
      </w:r>
      <w:r w:rsidRPr="00590BB9">
        <w:rPr>
          <w:rFonts w:ascii="Arial Narrow" w:hAnsi="Arial Narrow"/>
          <w:b/>
          <w:w w:val="110"/>
          <w:sz w:val="22"/>
          <w:szCs w:val="22"/>
          <w:u w:val="thick"/>
        </w:rPr>
        <w:t>Jurídico</w:t>
      </w:r>
      <w:r w:rsidRPr="00590BB9">
        <w:rPr>
          <w:rFonts w:ascii="Arial Narrow" w:hAnsi="Arial Narrow"/>
          <w:b/>
          <w:spacing w:val="40"/>
          <w:w w:val="110"/>
          <w:sz w:val="22"/>
          <w:szCs w:val="22"/>
          <w:u w:val="thick"/>
        </w:rPr>
        <w:t xml:space="preserve"> </w:t>
      </w:r>
      <w:r w:rsidRPr="00590BB9">
        <w:rPr>
          <w:rFonts w:ascii="Arial Narrow" w:hAnsi="Arial Narrow"/>
          <w:b/>
          <w:w w:val="110"/>
          <w:sz w:val="22"/>
          <w:szCs w:val="22"/>
          <w:u w:val="thick"/>
        </w:rPr>
        <w:t>nº.</w:t>
      </w:r>
      <w:r w:rsidRPr="00590BB9">
        <w:rPr>
          <w:rFonts w:ascii="Arial Narrow" w:hAnsi="Arial Narrow"/>
          <w:b/>
          <w:spacing w:val="40"/>
          <w:w w:val="110"/>
          <w:sz w:val="22"/>
          <w:szCs w:val="22"/>
          <w:u w:val="thick"/>
        </w:rPr>
        <w:t xml:space="preserve"> </w:t>
      </w:r>
      <w:r w:rsidR="00B827DE" w:rsidRPr="00590BB9">
        <w:rPr>
          <w:rFonts w:ascii="Arial Narrow" w:hAnsi="Arial Narrow"/>
          <w:b/>
          <w:spacing w:val="40"/>
          <w:w w:val="110"/>
          <w:sz w:val="22"/>
          <w:szCs w:val="22"/>
          <w:u w:val="thick"/>
        </w:rPr>
        <w:t xml:space="preserve">PGLWG </w:t>
      </w:r>
      <w:r w:rsidR="00765318">
        <w:rPr>
          <w:rFonts w:ascii="Arial Narrow" w:hAnsi="Arial Narrow"/>
          <w:b/>
          <w:w w:val="110"/>
          <w:sz w:val="22"/>
          <w:szCs w:val="22"/>
          <w:u w:val="thick"/>
        </w:rPr>
        <w:t>102</w:t>
      </w:r>
      <w:r w:rsidRPr="00590BB9">
        <w:rPr>
          <w:rFonts w:ascii="Arial Narrow" w:hAnsi="Arial Narrow"/>
          <w:b/>
          <w:w w:val="110"/>
          <w:sz w:val="22"/>
          <w:szCs w:val="22"/>
          <w:u w:val="thick"/>
        </w:rPr>
        <w:t>/2025</w:t>
      </w:r>
      <w:r w:rsidRPr="00590BB9">
        <w:rPr>
          <w:rFonts w:ascii="Arial Narrow" w:hAnsi="Arial Narrow"/>
          <w:b/>
          <w:spacing w:val="72"/>
          <w:w w:val="110"/>
          <w:sz w:val="22"/>
          <w:szCs w:val="22"/>
          <w:u w:val="thick"/>
        </w:rPr>
        <w:t>,</w:t>
      </w:r>
    </w:p>
    <w:p w14:paraId="4CD1A645" w14:textId="0A10A4B5" w:rsidR="0059265E" w:rsidRPr="00590BB9" w:rsidRDefault="0059265E" w:rsidP="0059265E">
      <w:pPr>
        <w:spacing w:line="288" w:lineRule="auto"/>
        <w:ind w:right="3399"/>
        <w:rPr>
          <w:rFonts w:ascii="Arial Narrow" w:hAnsi="Arial Narrow"/>
          <w:sz w:val="22"/>
          <w:szCs w:val="22"/>
        </w:rPr>
      </w:pPr>
      <w:r w:rsidRPr="00590BB9">
        <w:rPr>
          <w:rFonts w:ascii="Arial Narrow" w:hAnsi="Arial Narrow"/>
          <w:b/>
          <w:w w:val="110"/>
          <w:sz w:val="22"/>
          <w:szCs w:val="22"/>
        </w:rPr>
        <w:t xml:space="preserve">Referência: </w:t>
      </w:r>
      <w:r w:rsidRPr="00590BB9">
        <w:rPr>
          <w:rFonts w:ascii="Arial Narrow" w:hAnsi="Arial Narrow"/>
          <w:w w:val="110"/>
          <w:sz w:val="22"/>
          <w:szCs w:val="22"/>
        </w:rPr>
        <w:t xml:space="preserve">Projeto de Lei </w:t>
      </w:r>
      <w:r w:rsidR="00B827DE" w:rsidRPr="00590BB9">
        <w:rPr>
          <w:rFonts w:ascii="Arial Narrow" w:hAnsi="Arial Narrow"/>
          <w:w w:val="110"/>
          <w:sz w:val="22"/>
          <w:szCs w:val="22"/>
        </w:rPr>
        <w:t>Ordinária</w:t>
      </w:r>
      <w:r w:rsidRPr="00590BB9">
        <w:rPr>
          <w:rFonts w:ascii="Arial Narrow" w:hAnsi="Arial Narrow"/>
          <w:w w:val="110"/>
          <w:sz w:val="22"/>
          <w:szCs w:val="22"/>
        </w:rPr>
        <w:t xml:space="preserve"> nº </w:t>
      </w:r>
      <w:r w:rsidR="00694BD0">
        <w:rPr>
          <w:rFonts w:ascii="Arial Narrow" w:hAnsi="Arial Narrow"/>
          <w:w w:val="110"/>
          <w:sz w:val="22"/>
          <w:szCs w:val="22"/>
        </w:rPr>
        <w:t>550</w:t>
      </w:r>
      <w:r w:rsidR="00D6726B" w:rsidRPr="00590BB9">
        <w:rPr>
          <w:rFonts w:ascii="Arial Narrow" w:hAnsi="Arial Narrow"/>
          <w:w w:val="110"/>
          <w:sz w:val="22"/>
          <w:szCs w:val="22"/>
        </w:rPr>
        <w:t>/202</w:t>
      </w:r>
      <w:r w:rsidR="007F3C31" w:rsidRPr="00590BB9">
        <w:rPr>
          <w:rFonts w:ascii="Arial Narrow" w:hAnsi="Arial Narrow"/>
          <w:w w:val="110"/>
          <w:sz w:val="22"/>
          <w:szCs w:val="22"/>
        </w:rPr>
        <w:t>5</w:t>
      </w:r>
    </w:p>
    <w:p w14:paraId="21E483DA" w14:textId="038361B7" w:rsidR="0059265E" w:rsidRPr="00590BB9" w:rsidRDefault="0059265E" w:rsidP="0059265E">
      <w:pPr>
        <w:spacing w:before="27"/>
        <w:rPr>
          <w:rFonts w:ascii="Arial Narrow" w:hAnsi="Arial Narrow"/>
          <w:b/>
          <w:spacing w:val="-1"/>
          <w:w w:val="115"/>
          <w:sz w:val="22"/>
          <w:szCs w:val="22"/>
        </w:rPr>
      </w:pPr>
      <w:r w:rsidRPr="00590BB9">
        <w:rPr>
          <w:rFonts w:ascii="Arial Narrow" w:hAnsi="Arial Narrow"/>
          <w:b/>
          <w:w w:val="115"/>
          <w:sz w:val="22"/>
          <w:szCs w:val="22"/>
        </w:rPr>
        <w:t>Autoria:</w:t>
      </w:r>
      <w:r w:rsidRPr="00590BB9">
        <w:rPr>
          <w:rFonts w:ascii="Arial Narrow" w:hAnsi="Arial Narrow"/>
          <w:b/>
          <w:spacing w:val="-1"/>
          <w:w w:val="115"/>
          <w:sz w:val="22"/>
          <w:szCs w:val="22"/>
        </w:rPr>
        <w:t xml:space="preserve"> </w:t>
      </w:r>
      <w:r w:rsidR="00B57427" w:rsidRPr="00590BB9">
        <w:rPr>
          <w:rFonts w:ascii="Arial Narrow" w:hAnsi="Arial Narrow"/>
          <w:b/>
          <w:spacing w:val="-1"/>
          <w:w w:val="115"/>
          <w:sz w:val="22"/>
          <w:szCs w:val="22"/>
        </w:rPr>
        <w:t>RODRIGO BRAGA DA ROCHA</w:t>
      </w:r>
    </w:p>
    <w:p w14:paraId="5B2735AA" w14:textId="77777777" w:rsidR="00A9325C" w:rsidRPr="00590BB9" w:rsidRDefault="00A9325C" w:rsidP="0059265E">
      <w:pPr>
        <w:spacing w:before="27"/>
        <w:rPr>
          <w:rFonts w:ascii="Arial Narrow" w:hAnsi="Arial Narrow"/>
          <w:sz w:val="22"/>
          <w:szCs w:val="22"/>
        </w:rPr>
      </w:pPr>
    </w:p>
    <w:p w14:paraId="1F650099" w14:textId="77777777" w:rsidR="00F32BAA" w:rsidRPr="00F32BAA" w:rsidRDefault="0059265E" w:rsidP="00F32BAA">
      <w:pPr>
        <w:pStyle w:val="Pr-formataoHTML"/>
        <w:jc w:val="both"/>
        <w:rPr>
          <w:rFonts w:ascii="Arial Narrow" w:hAnsi="Arial Narrow"/>
          <w:w w:val="105"/>
          <w:sz w:val="22"/>
          <w:szCs w:val="22"/>
        </w:rPr>
      </w:pPr>
      <w:r w:rsidRPr="00590BB9">
        <w:rPr>
          <w:rFonts w:ascii="Arial Narrow" w:hAnsi="Arial Narrow" w:cs="Times New Roman"/>
          <w:b/>
          <w:w w:val="105"/>
          <w:sz w:val="22"/>
          <w:szCs w:val="22"/>
        </w:rPr>
        <w:t>Ementa</w:t>
      </w:r>
      <w:r w:rsidRPr="00590BB9">
        <w:rPr>
          <w:rFonts w:ascii="Arial Narrow" w:hAnsi="Arial Narrow"/>
          <w:w w:val="105"/>
          <w:sz w:val="22"/>
          <w:szCs w:val="22"/>
        </w:rPr>
        <w:t>:</w:t>
      </w:r>
      <w:r w:rsidR="00F32BAA">
        <w:rPr>
          <w:rFonts w:ascii="Arial Narrow" w:hAnsi="Arial Narrow"/>
          <w:w w:val="105"/>
          <w:sz w:val="22"/>
          <w:szCs w:val="22"/>
        </w:rPr>
        <w:t xml:space="preserve"> </w:t>
      </w:r>
      <w:bookmarkStart w:id="1" w:name="_Hlk202521720"/>
      <w:r w:rsidR="00F32BAA" w:rsidRPr="00F32BAA">
        <w:rPr>
          <w:rFonts w:ascii="Arial Narrow" w:hAnsi="Arial Narrow"/>
          <w:w w:val="105"/>
          <w:sz w:val="22"/>
          <w:szCs w:val="22"/>
        </w:rPr>
        <w:t>AUTORIZA O PODER EXECUTIVO A CRIAR UM BANCO MUNICIPAL DE OPORTUNIDADES PARA JOVENS NO ÂMBITO DO MUNICÍPIO DE SETE LAGOAS.</w:t>
      </w:r>
    </w:p>
    <w:p w14:paraId="1F939F40" w14:textId="00D4B2F8" w:rsidR="00161FE1" w:rsidRDefault="00161FE1" w:rsidP="00F32BAA">
      <w:pPr>
        <w:pStyle w:val="Pr-formataoHTML"/>
        <w:tabs>
          <w:tab w:val="clear" w:pos="2748"/>
        </w:tabs>
        <w:jc w:val="both"/>
        <w:rPr>
          <w:rFonts w:ascii="Arial Narrow" w:hAnsi="Arial Narrow" w:cs="Arial"/>
          <w:b/>
          <w:color w:val="000000"/>
          <w:lang w:eastAsia="ar-SA"/>
        </w:rPr>
      </w:pPr>
    </w:p>
    <w:bookmarkEnd w:id="1"/>
    <w:p w14:paraId="077DFC15" w14:textId="79BC3B37" w:rsidR="0039655B" w:rsidRPr="00590BB9" w:rsidRDefault="0006418D" w:rsidP="0039655B">
      <w:pPr>
        <w:tabs>
          <w:tab w:val="left" w:pos="0"/>
          <w:tab w:val="left" w:pos="1821"/>
        </w:tabs>
        <w:spacing w:line="360" w:lineRule="auto"/>
        <w:rPr>
          <w:rFonts w:ascii="Arial Narrow" w:hAnsi="Arial Narrow" w:cs="Arial"/>
          <w:b/>
          <w:color w:val="000000"/>
          <w:u w:val="single"/>
          <w:lang w:eastAsia="ar-SA"/>
        </w:rPr>
      </w:pPr>
      <w:r w:rsidRPr="00590BB9">
        <w:rPr>
          <w:rFonts w:ascii="Arial Narrow" w:hAnsi="Arial Narrow" w:cs="Arial"/>
          <w:b/>
          <w:color w:val="000000"/>
          <w:u w:val="single"/>
          <w:lang w:eastAsia="ar-SA"/>
        </w:rPr>
        <w:t>PARECER</w:t>
      </w:r>
    </w:p>
    <w:p w14:paraId="32B751C8" w14:textId="4F12FDC3" w:rsidR="0039655B" w:rsidRPr="00F32BAA" w:rsidRDefault="001E2433" w:rsidP="00F32BAA">
      <w:pPr>
        <w:tabs>
          <w:tab w:val="left" w:pos="1455"/>
        </w:tabs>
        <w:spacing w:line="360" w:lineRule="auto"/>
        <w:ind w:firstLine="1134"/>
        <w:rPr>
          <w:rFonts w:ascii="Arial Narrow" w:hAnsi="Arial Narrow"/>
          <w:w w:val="115"/>
          <w:sz w:val="22"/>
          <w:szCs w:val="22"/>
        </w:rPr>
      </w:pPr>
      <w:r w:rsidRPr="00590BB9">
        <w:rPr>
          <w:rFonts w:ascii="Arial Narrow" w:hAnsi="Arial Narrow"/>
          <w:sz w:val="22"/>
          <w:szCs w:val="22"/>
        </w:rPr>
        <w:t xml:space="preserve">Vem para esta Procuradoria </w:t>
      </w:r>
      <w:r w:rsidR="00304A29" w:rsidRPr="00590BB9">
        <w:rPr>
          <w:rFonts w:ascii="Arial Narrow" w:hAnsi="Arial Narrow"/>
          <w:sz w:val="22"/>
          <w:szCs w:val="22"/>
        </w:rPr>
        <w:t xml:space="preserve">o </w:t>
      </w:r>
      <w:r w:rsidR="00F32BAA">
        <w:rPr>
          <w:rFonts w:ascii="Arial Narrow" w:hAnsi="Arial Narrow"/>
          <w:sz w:val="22"/>
          <w:szCs w:val="22"/>
        </w:rPr>
        <w:t>P</w:t>
      </w:r>
      <w:r w:rsidR="00304A29" w:rsidRPr="00590BB9">
        <w:rPr>
          <w:rFonts w:ascii="Arial Narrow" w:hAnsi="Arial Narrow"/>
          <w:sz w:val="22"/>
          <w:szCs w:val="22"/>
        </w:rPr>
        <w:t xml:space="preserve">rojeto de </w:t>
      </w:r>
      <w:r w:rsidR="00F32BAA">
        <w:rPr>
          <w:rFonts w:ascii="Arial Narrow" w:hAnsi="Arial Narrow"/>
          <w:sz w:val="22"/>
          <w:szCs w:val="22"/>
        </w:rPr>
        <w:t>L</w:t>
      </w:r>
      <w:r w:rsidR="00304A29" w:rsidRPr="00590BB9">
        <w:rPr>
          <w:rFonts w:ascii="Arial Narrow" w:hAnsi="Arial Narrow"/>
          <w:sz w:val="22"/>
          <w:szCs w:val="22"/>
        </w:rPr>
        <w:t>ei nº</w:t>
      </w:r>
      <w:r w:rsidR="00F32BAA">
        <w:rPr>
          <w:rFonts w:ascii="Arial Narrow" w:hAnsi="Arial Narrow"/>
          <w:sz w:val="22"/>
          <w:szCs w:val="22"/>
        </w:rPr>
        <w:t xml:space="preserve"> 550</w:t>
      </w:r>
      <w:r w:rsidR="00304A29" w:rsidRPr="00590BB9">
        <w:rPr>
          <w:rFonts w:ascii="Arial Narrow" w:hAnsi="Arial Narrow"/>
          <w:sz w:val="22"/>
          <w:szCs w:val="22"/>
        </w:rPr>
        <w:t xml:space="preserve">/2025 </w:t>
      </w:r>
      <w:r w:rsidR="0029736E" w:rsidRPr="00590BB9">
        <w:rPr>
          <w:rFonts w:ascii="Arial Narrow" w:hAnsi="Arial Narrow"/>
          <w:sz w:val="22"/>
          <w:szCs w:val="22"/>
        </w:rPr>
        <w:t xml:space="preserve">que </w:t>
      </w:r>
      <w:r w:rsidR="00F32BAA" w:rsidRPr="00F32BAA">
        <w:rPr>
          <w:rFonts w:ascii="Arial Narrow" w:hAnsi="Arial Narrow"/>
          <w:w w:val="115"/>
          <w:sz w:val="22"/>
          <w:szCs w:val="22"/>
        </w:rPr>
        <w:t xml:space="preserve">autoriza o </w:t>
      </w:r>
      <w:r w:rsidR="00F32BAA">
        <w:rPr>
          <w:rFonts w:ascii="Arial Narrow" w:hAnsi="Arial Narrow"/>
          <w:w w:val="115"/>
          <w:sz w:val="22"/>
          <w:szCs w:val="22"/>
        </w:rPr>
        <w:t>P</w:t>
      </w:r>
      <w:r w:rsidR="00F32BAA" w:rsidRPr="00F32BAA">
        <w:rPr>
          <w:rFonts w:ascii="Arial Narrow" w:hAnsi="Arial Narrow"/>
          <w:w w:val="115"/>
          <w:sz w:val="22"/>
          <w:szCs w:val="22"/>
        </w:rPr>
        <w:t xml:space="preserve">oder </w:t>
      </w:r>
      <w:r w:rsidR="00F32BAA">
        <w:rPr>
          <w:rFonts w:ascii="Arial Narrow" w:hAnsi="Arial Narrow"/>
          <w:w w:val="115"/>
          <w:sz w:val="22"/>
          <w:szCs w:val="22"/>
        </w:rPr>
        <w:t>E</w:t>
      </w:r>
      <w:r w:rsidR="00F32BAA" w:rsidRPr="00F32BAA">
        <w:rPr>
          <w:rFonts w:ascii="Arial Narrow" w:hAnsi="Arial Narrow"/>
          <w:w w:val="115"/>
          <w:sz w:val="22"/>
          <w:szCs w:val="22"/>
        </w:rPr>
        <w:t xml:space="preserve">xecutivo a criar um banco municipal de oportunidades para jovens no âmbito do </w:t>
      </w:r>
      <w:r w:rsidR="00F32BAA">
        <w:rPr>
          <w:rFonts w:ascii="Arial Narrow" w:hAnsi="Arial Narrow"/>
          <w:w w:val="115"/>
          <w:sz w:val="22"/>
          <w:szCs w:val="22"/>
        </w:rPr>
        <w:t>M</w:t>
      </w:r>
      <w:r w:rsidR="00F32BAA" w:rsidRPr="00F32BAA">
        <w:rPr>
          <w:rFonts w:ascii="Arial Narrow" w:hAnsi="Arial Narrow"/>
          <w:w w:val="115"/>
          <w:sz w:val="22"/>
          <w:szCs w:val="22"/>
        </w:rPr>
        <w:t xml:space="preserve">unicípio de </w:t>
      </w:r>
      <w:r w:rsidR="00F32BAA">
        <w:rPr>
          <w:rFonts w:ascii="Arial Narrow" w:hAnsi="Arial Narrow"/>
          <w:w w:val="115"/>
          <w:sz w:val="22"/>
          <w:szCs w:val="22"/>
        </w:rPr>
        <w:t>S</w:t>
      </w:r>
      <w:r w:rsidR="00F32BAA" w:rsidRPr="00F32BAA">
        <w:rPr>
          <w:rFonts w:ascii="Arial Narrow" w:hAnsi="Arial Narrow"/>
          <w:w w:val="115"/>
          <w:sz w:val="22"/>
          <w:szCs w:val="22"/>
        </w:rPr>
        <w:t xml:space="preserve">ete </w:t>
      </w:r>
      <w:r w:rsidR="00F32BAA">
        <w:rPr>
          <w:rFonts w:ascii="Arial Narrow" w:hAnsi="Arial Narrow"/>
          <w:w w:val="115"/>
          <w:sz w:val="22"/>
          <w:szCs w:val="22"/>
        </w:rPr>
        <w:t>L</w:t>
      </w:r>
      <w:r w:rsidR="00F32BAA" w:rsidRPr="00F32BAA">
        <w:rPr>
          <w:rFonts w:ascii="Arial Narrow" w:hAnsi="Arial Narrow"/>
          <w:w w:val="115"/>
          <w:sz w:val="22"/>
          <w:szCs w:val="22"/>
        </w:rPr>
        <w:t>agoas.</w:t>
      </w:r>
    </w:p>
    <w:p w14:paraId="15E190E7" w14:textId="439F412F" w:rsidR="0006418D" w:rsidRPr="00590BB9" w:rsidRDefault="0006418D" w:rsidP="00590BB9">
      <w:pPr>
        <w:tabs>
          <w:tab w:val="left" w:pos="1455"/>
        </w:tabs>
        <w:spacing w:line="360" w:lineRule="auto"/>
        <w:jc w:val="both"/>
        <w:rPr>
          <w:rFonts w:ascii="Arial Narrow" w:hAnsi="Arial Narrow" w:cs="Arial"/>
          <w:b/>
          <w:bCs/>
          <w:color w:val="000000"/>
          <w:u w:val="single"/>
          <w:lang w:eastAsia="ar-SA"/>
        </w:rPr>
      </w:pPr>
      <w:r w:rsidRPr="001813EE">
        <w:rPr>
          <w:rFonts w:ascii="Arial Narrow" w:hAnsi="Arial Narrow" w:cs="Arial"/>
          <w:b/>
          <w:bCs/>
          <w:color w:val="000000"/>
          <w:lang w:eastAsia="ar-SA"/>
        </w:rPr>
        <w:t xml:space="preserve"> </w:t>
      </w:r>
      <w:r w:rsidR="00590BB9" w:rsidRPr="001813EE">
        <w:rPr>
          <w:rFonts w:ascii="Arial Narrow" w:hAnsi="Arial Narrow" w:cs="Arial"/>
          <w:b/>
          <w:bCs/>
          <w:color w:val="000000"/>
          <w:u w:val="single"/>
          <w:lang w:eastAsia="ar-SA"/>
        </w:rPr>
        <w:t>RELATÓRIO</w:t>
      </w:r>
    </w:p>
    <w:p w14:paraId="26582A94" w14:textId="1090365B" w:rsidR="00E55872" w:rsidRPr="00E55872" w:rsidRDefault="00304A29" w:rsidP="00F32BAA">
      <w:pPr>
        <w:pStyle w:val="Pr-formataoHTML"/>
        <w:spacing w:line="360" w:lineRule="auto"/>
        <w:ind w:firstLine="1134"/>
        <w:rPr>
          <w:rFonts w:ascii="Arial Narrow" w:hAnsi="Arial Narrow" w:cs="Arial"/>
          <w:sz w:val="24"/>
          <w:szCs w:val="24"/>
        </w:rPr>
      </w:pPr>
      <w:r w:rsidRPr="00590BB9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 xml:space="preserve">O referido </w:t>
      </w:r>
      <w:r w:rsidR="00F32BAA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>P</w:t>
      </w:r>
      <w:r w:rsidRPr="00590BB9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 xml:space="preserve">rojeto de </w:t>
      </w:r>
      <w:r w:rsidR="00F32BAA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>L</w:t>
      </w:r>
      <w:r w:rsidRPr="00590BB9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 xml:space="preserve">ei tem como objetivo </w:t>
      </w:r>
      <w:r w:rsidR="00F32BAA" w:rsidRPr="00F32BAA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>autorizar o Poder Executivo a criar o Banco Municipal de Oportunidades para Jovens, uma plataforma digital destinada a reunir informações sobre vagas de emprego, facilitar o cadastro de jovens interessados e promover a intermediação entre empregadores locais e potenciais candidatos. Além disso, prevê-se a divulgação de oportunidades de qualificação profissional, ampliando as chances de inserção produtiva dos jovens no mercado de trabalho.</w:t>
      </w:r>
      <w:r w:rsidR="00F32BAA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 xml:space="preserve"> </w:t>
      </w:r>
    </w:p>
    <w:p w14:paraId="29DE6D48" w14:textId="77777777" w:rsidR="0006418D" w:rsidRPr="00AC5739" w:rsidRDefault="0006418D" w:rsidP="0006418D">
      <w:pPr>
        <w:tabs>
          <w:tab w:val="left" w:pos="1455"/>
        </w:tabs>
        <w:spacing w:line="360" w:lineRule="auto"/>
        <w:ind w:firstLine="1410"/>
        <w:jc w:val="both"/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</w:pPr>
      <w:r w:rsidRPr="00AC5739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>A solicitação não veio acompanhado de documentação.</w:t>
      </w:r>
    </w:p>
    <w:p w14:paraId="67179674" w14:textId="7FB22543" w:rsidR="00F01A9A" w:rsidRPr="00AC5739" w:rsidRDefault="0006418D" w:rsidP="000B5EB1">
      <w:pPr>
        <w:tabs>
          <w:tab w:val="left" w:pos="1455"/>
        </w:tabs>
        <w:spacing w:line="360" w:lineRule="auto"/>
        <w:ind w:firstLine="1410"/>
        <w:jc w:val="both"/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</w:pPr>
      <w:r w:rsidRPr="00AC5739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>Em síntese estes são os fatos.</w:t>
      </w:r>
    </w:p>
    <w:p w14:paraId="63AA6986" w14:textId="77777777" w:rsidR="00F01A9A" w:rsidRPr="000B5EB1" w:rsidRDefault="00F01A9A" w:rsidP="00F01A9A">
      <w:pPr>
        <w:spacing w:line="276" w:lineRule="auto"/>
        <w:jc w:val="both"/>
        <w:rPr>
          <w:rFonts w:ascii="Arial Narrow" w:hAnsi="Arial Narrow"/>
          <w:b/>
          <w:bCs/>
          <w:u w:val="single"/>
        </w:rPr>
      </w:pPr>
      <w:r w:rsidRPr="000B5EB1">
        <w:rPr>
          <w:rFonts w:ascii="Arial Narrow" w:hAnsi="Arial Narrow"/>
          <w:b/>
          <w:bCs/>
          <w:u w:val="single"/>
        </w:rPr>
        <w:t>DA NATUREZA AUTORIZATIVA - PROPOSIÇÃO DE INICIATIVA PARLAMENTAR - INTERFERÊNCIA INDEVIDA DO PODER LEGISLATIVO NAS FUNÇÕES ADMINISTRATIVAS DO PODER EXECUTIVO – VIOLAÇÃO DO ART. 2º DA CARTA MAIOR - PRINCÍPIO DA SEPARAÇÃO DOS PODERES – INCONSTITUCIONALIDADE FORMAL E MATERIAL CONFIGURADA – VIOLAÇÃO À RESERVA DA ADMINISTRAÇÃO.</w:t>
      </w:r>
    </w:p>
    <w:p w14:paraId="40EAA4EB" w14:textId="77777777" w:rsidR="00F01A9A" w:rsidRPr="007142F1" w:rsidRDefault="00F01A9A" w:rsidP="00F01A9A">
      <w:pPr>
        <w:jc w:val="both"/>
        <w:rPr>
          <w:rFonts w:ascii="Arial Narrow" w:hAnsi="Arial Narrow"/>
        </w:rPr>
      </w:pPr>
    </w:p>
    <w:p w14:paraId="04C5AF8E" w14:textId="0EF3DF72" w:rsidR="00F01A9A" w:rsidRDefault="00F01A9A" w:rsidP="00F01A9A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 xml:space="preserve">As leis autorizativas são aquelas que por não poder determinar, limita-se a autorizar o Poder Executivo a executar atos, e atribuem ao ente executivo a possibilidade da atuação, execução e realização daquilo já previsto anteriormente ou que não recai obrigação legal para o cumprimento. </w:t>
      </w:r>
    </w:p>
    <w:p w14:paraId="25A88FCE" w14:textId="52A34CDD" w:rsidR="007E73A4" w:rsidRDefault="00F01A9A" w:rsidP="00F32BAA">
      <w:pPr>
        <w:spacing w:line="276" w:lineRule="auto"/>
        <w:ind w:firstLine="1134"/>
        <w:jc w:val="both"/>
        <w:rPr>
          <w:rFonts w:ascii="Arial Narrow" w:hAnsi="Arial Narrow"/>
        </w:rPr>
      </w:pPr>
      <w:r w:rsidRPr="00FC0544">
        <w:rPr>
          <w:rFonts w:ascii="Arial Narrow" w:hAnsi="Arial Narrow"/>
        </w:rPr>
        <w:t>No entanto, constata-se</w:t>
      </w:r>
      <w:r>
        <w:rPr>
          <w:rFonts w:ascii="Arial Narrow" w:hAnsi="Arial Narrow"/>
        </w:rPr>
        <w:t xml:space="preserve"> no Projeto de Lei </w:t>
      </w:r>
      <w:r w:rsidRPr="00FC0544">
        <w:rPr>
          <w:rFonts w:ascii="Arial Narrow" w:hAnsi="Arial Narrow"/>
        </w:rPr>
        <w:t xml:space="preserve">analisado que </w:t>
      </w:r>
      <w:r>
        <w:rPr>
          <w:rFonts w:ascii="Arial Narrow" w:hAnsi="Arial Narrow"/>
        </w:rPr>
        <w:t xml:space="preserve">no artigo </w:t>
      </w:r>
      <w:r w:rsidR="007E73A4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º, </w:t>
      </w:r>
      <w:r w:rsidRPr="00FC0544">
        <w:rPr>
          <w:rFonts w:ascii="Arial Narrow" w:hAnsi="Arial Narrow"/>
        </w:rPr>
        <w:t>trata da estrutura da Administração municipal</w:t>
      </w:r>
      <w:r>
        <w:rPr>
          <w:rFonts w:ascii="Arial Narrow" w:hAnsi="Arial Narrow"/>
        </w:rPr>
        <w:t xml:space="preserve"> e da natureza autorizativa:</w:t>
      </w:r>
    </w:p>
    <w:p w14:paraId="5DC89805" w14:textId="4CDDC7ED" w:rsidR="001F7599" w:rsidRPr="001F7599" w:rsidRDefault="001F7599" w:rsidP="001F7599">
      <w:pPr>
        <w:ind w:left="2268"/>
        <w:jc w:val="both"/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</w:pPr>
      <w:r w:rsidRPr="001F7599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Art. 1º </w:t>
      </w:r>
      <w:r w:rsidRPr="001F7599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>Fica o Poder Executivo autorizado</w:t>
      </w:r>
      <w:r w:rsidRPr="001F7599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 a criar o Banco Municipal de Oportunidades para Jovens no âmbito do Município de Sete Lagoas.</w:t>
      </w:r>
      <w:r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 (grifo nosso)</w:t>
      </w:r>
    </w:p>
    <w:p w14:paraId="2EEC8872" w14:textId="77777777" w:rsidR="00F01A9A" w:rsidRPr="007142F1" w:rsidRDefault="00F01A9A" w:rsidP="000B5EB1">
      <w:pPr>
        <w:ind w:firstLine="1134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>Insta enfatizar que normativamente o Poder Legislativo pode estabelecer normas gerais, mas a implementação e a operacionalização dessas normas cabem ao Executivo, decorrência do conteúdo nuclear do princípio da separação de poderes, não cabe ao Legislativo determinar ao Executivo que crie determinado empreendimento, uma vez que o exercício da função legislativa deve ater-se à produção de normas de caráter genérico, abstrato e impessoal, sendo reservada ao Executivo a competência para prover situações concretas, uma vez que estas se traduzem no exercício do poder de administrar balizado nos princípios da conveniência e oportunidade.</w:t>
      </w:r>
    </w:p>
    <w:p w14:paraId="433B372F" w14:textId="77777777" w:rsidR="00F01A9A" w:rsidRPr="007142F1" w:rsidRDefault="00F01A9A" w:rsidP="00F01A9A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>Neste sentido, a jurisprudência diz:</w:t>
      </w:r>
    </w:p>
    <w:p w14:paraId="51C0E1A3" w14:textId="77777777" w:rsidR="00F01A9A" w:rsidRPr="007142F1" w:rsidRDefault="00F01A9A" w:rsidP="00F01A9A">
      <w:pPr>
        <w:jc w:val="both"/>
        <w:rPr>
          <w:rFonts w:ascii="Arial Narrow" w:hAnsi="Arial Narrow"/>
        </w:rPr>
      </w:pPr>
    </w:p>
    <w:p w14:paraId="6F9D02B4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sz w:val="20"/>
          <w:szCs w:val="20"/>
        </w:rPr>
      </w:pPr>
      <w:r w:rsidRPr="007142F1">
        <w:rPr>
          <w:rFonts w:ascii="Arial Narrow" w:hAnsi="Arial Narrow"/>
          <w:sz w:val="20"/>
          <w:szCs w:val="20"/>
        </w:rPr>
        <w:lastRenderedPageBreak/>
        <w:t>VOTO Nº 39791 AÇÃO DIRETA DE INCONSTITUCIONALIDADE. Lei Complementar Municipal de Tremembé n.º 421/24, que autoriza o Poder Executivo a instituir o programa de incentivo e desconto, denominado "IPTU VERDE". Vício de iniciativa e violação à separação de Poderes . Inocorrência. Inexistência de reserva de iniciativa para leis de natureza tributária. STF, ARE 743.480-MG, com repercussão geral . Todavia, edição de "lei autorizativa". Inadmissibilidade. ADI 2224558-18.2023 .8.26.0000, Rel. Des . Luis Fernando Nishi, unânime, j. 13.03.24 . Violação à reserva da Administração. Alcaide que não depende de autorização para o exercício de atos de sua competência. Inteligência dos arts. 5º, 47, inc . II, III, XIV, e 144, da CE. Doutrina. Precedentes deste C. Órgão Especial . Pedido procedente. (TJ-SP - Direta de Inconstitucionalidade: 20529570720248260000 São Paulo, Relator.: Tasso Duarte de Melo, Data de Julgamento: 21/08/2024, Órgão Especial, Data de Publicação: 10/09/2024)</w:t>
      </w:r>
    </w:p>
    <w:p w14:paraId="757DA115" w14:textId="77777777" w:rsidR="00F01A9A" w:rsidRPr="007142F1" w:rsidRDefault="00F01A9A" w:rsidP="00F01A9A">
      <w:pPr>
        <w:jc w:val="both"/>
        <w:rPr>
          <w:rFonts w:ascii="Arial Narrow" w:hAnsi="Arial Narrow"/>
          <w:sz w:val="20"/>
          <w:szCs w:val="20"/>
        </w:rPr>
      </w:pPr>
    </w:p>
    <w:p w14:paraId="6F999FD5" w14:textId="77777777" w:rsidR="00F01A9A" w:rsidRPr="007142F1" w:rsidRDefault="00F01A9A" w:rsidP="00F01A9A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 xml:space="preserve">O princípio da separação dos poderes, consagrado na Constituição, estabelece que cada poder deve atuar dentro de suas competências. O Legislativo não pode invadir a esfera de atuação do Executivo, sob pena de comprometer a harmonia entre os poderes. </w:t>
      </w:r>
    </w:p>
    <w:p w14:paraId="73959C4C" w14:textId="77777777" w:rsidR="00F01A9A" w:rsidRPr="007142F1" w:rsidRDefault="00F01A9A" w:rsidP="00F01A9A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>Este é, aliás, o entendimento consolidado do Supremo Tribunal Federal:</w:t>
      </w:r>
    </w:p>
    <w:p w14:paraId="4D99FB6E" w14:textId="77777777" w:rsidR="00F01A9A" w:rsidRPr="007142F1" w:rsidRDefault="00F01A9A" w:rsidP="00F01A9A">
      <w:pPr>
        <w:jc w:val="both"/>
        <w:rPr>
          <w:rFonts w:ascii="Arial Narrow" w:hAnsi="Arial Narrow"/>
        </w:rPr>
      </w:pPr>
    </w:p>
    <w:p w14:paraId="274F937D" w14:textId="77777777" w:rsidR="00F01A9A" w:rsidRPr="001F7599" w:rsidRDefault="00F01A9A" w:rsidP="00F01A9A">
      <w:pPr>
        <w:ind w:left="2268"/>
        <w:jc w:val="both"/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</w:pPr>
      <w:r w:rsidRPr="001F7599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É inconstitucional qualquer tentativa do Poder Legislativo de </w:t>
      </w:r>
      <w:r w:rsidRPr="001F7599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 xml:space="preserve">definir previamente conteúdos </w:t>
      </w:r>
      <w:r w:rsidRPr="001F7599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ou estabelecer prazos para que o Poder Executivo, em relação às matérias afetas a sua iniciativa, apresente proposições legislativas, mesmo em sede da Constituição estadual, porquanto ofende, na seara administrativa, </w:t>
      </w:r>
      <w:r w:rsidRPr="001F7599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>a garantia de gestão superior</w:t>
      </w:r>
      <w:r w:rsidRPr="001F7599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 dada ao chefe daquele Poder. Os dispositivos do ADCT da Constituição gaúcha, ora questionados, exorbitam da autorização constitucional de auto-organização, interferindo indevidamente na necessária independência e na harmonia entre os Poderes, criando, globalmente, na forma nominada pelo autor, verdadeiro plano de governo, tolhendo o campo de discricionariedade e as prerrogativas próprias do chefe do Poder Executivo, em ofensa aos arts. 2º e 84, II, da Carta Magna. (ADI 179, rel. min. Dias Toffoli, j. 19-2-2014, P, DJE de 28-3-2014) (Grifo nosso)</w:t>
      </w:r>
    </w:p>
    <w:p w14:paraId="32D9E4CC" w14:textId="77777777" w:rsidR="00F01A9A" w:rsidRPr="001F7599" w:rsidRDefault="00F01A9A" w:rsidP="00F01A9A">
      <w:pPr>
        <w:ind w:left="2268"/>
        <w:jc w:val="both"/>
        <w:rPr>
          <w:rFonts w:ascii="Arial Narrow" w:hAnsi="Arial Narrow"/>
          <w:i/>
          <w:iCs/>
          <w:color w:val="244061" w:themeColor="accent1" w:themeShade="80"/>
        </w:rPr>
      </w:pPr>
    </w:p>
    <w:p w14:paraId="6C2B3D66" w14:textId="77777777" w:rsidR="00F01A9A" w:rsidRPr="007142F1" w:rsidRDefault="00F01A9A" w:rsidP="00F01A9A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>No mesmo sentido entende o Tribunal de São Paulo:</w:t>
      </w:r>
    </w:p>
    <w:p w14:paraId="51DF6358" w14:textId="77777777" w:rsidR="00F01A9A" w:rsidRPr="007142F1" w:rsidRDefault="00F01A9A" w:rsidP="00F01A9A">
      <w:pPr>
        <w:jc w:val="both"/>
        <w:rPr>
          <w:rFonts w:ascii="Arial Narrow" w:hAnsi="Arial Narrow"/>
        </w:rPr>
      </w:pPr>
    </w:p>
    <w:p w14:paraId="01F31963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sz w:val="20"/>
          <w:szCs w:val="20"/>
        </w:rPr>
      </w:pPr>
      <w:r w:rsidRPr="007142F1">
        <w:rPr>
          <w:rFonts w:ascii="Arial Narrow" w:hAnsi="Arial Narrow"/>
          <w:sz w:val="20"/>
          <w:szCs w:val="20"/>
        </w:rPr>
        <w:t>AÇÃO DIRETA DE INCONSTITUCIONALIDADE. Lei nº 2105, de 17 de maio de 2023, do Município de Ouro Verde, que autoriza o Poder Executivo local a firmar Contrato de Concessão de Uso de Bens Móveis e Imóveis, bem como de prestação de serviços de gestão de resíduos sólidos recicláveis e reutilizáveis, com determinada Cooperativa de Catadores de Materiais Recicláveis existente no Município. Hipótese de dispensa da licitação para a concessão de bens, notadamente de imóvel destinado a galpão de reciclagem, em benefício de cooperativa específica. Ofensa ao princípio constitucional da impessoalidade a ser observado nas contratações realizadas pela administração. Usurpação, ademais, da competência privativa da União para legislar sobre normas gerais de licitação (artigo 22, inciso XXVII, da Constituição da República) e afronta ao artigo 144 da Carta Estadual. Inconstitucionalidade reconhecida. Lei autorizativa que traz em si comando cogente, do qual não necessita o Executivo. Ofensa ao princípio da Separação dos Poderes. Afronta aos artigos 5º, 47, incisos II e XIV e 144 da Carta Bandeirante. AÇÃO PROCEDENTE. (TJSP; ADI 2143223-74.2023.8.26.0000; Ac. 17135415; São Paulo; Órgão Especial; Rel. Des. Xavier de Aquino; Julg. 06/09/2023; DJESP 25/09/2023; Pág. 2905)</w:t>
      </w:r>
    </w:p>
    <w:p w14:paraId="6621AC73" w14:textId="77777777" w:rsidR="00F01A9A" w:rsidRPr="007142F1" w:rsidRDefault="00F01A9A" w:rsidP="00F01A9A">
      <w:pPr>
        <w:jc w:val="both"/>
        <w:rPr>
          <w:rFonts w:ascii="Arial Narrow" w:hAnsi="Arial Narrow"/>
        </w:rPr>
      </w:pPr>
    </w:p>
    <w:p w14:paraId="34E1AE8B" w14:textId="77777777" w:rsidR="00F01A9A" w:rsidRPr="007142F1" w:rsidRDefault="00F01A9A" w:rsidP="00F01A9A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>Nas preleções de Hely Lopes Meirelles relatam sobre os limites da atuação dos Poderes Executivo e Legislativo:</w:t>
      </w:r>
    </w:p>
    <w:p w14:paraId="50F1D127" w14:textId="77777777" w:rsidR="00F01A9A" w:rsidRPr="007142F1" w:rsidRDefault="00F01A9A" w:rsidP="00F01A9A">
      <w:pPr>
        <w:jc w:val="both"/>
        <w:rPr>
          <w:rFonts w:ascii="Arial Narrow" w:hAnsi="Arial Narrow"/>
        </w:rPr>
      </w:pPr>
    </w:p>
    <w:p w14:paraId="67F1AA05" w14:textId="77777777" w:rsidR="00F01A9A" w:rsidRPr="001F7599" w:rsidRDefault="00F01A9A" w:rsidP="00F01A9A">
      <w:pPr>
        <w:ind w:left="2268"/>
        <w:jc w:val="both"/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</w:pPr>
      <w:r w:rsidRPr="001F7599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"A atribuição típica e predominante da Câmara é normativa, isto é, a de regular a administração do Município e a conduta dos munícipes no que afeta aos interesses locais. A Câmara não </w:t>
      </w:r>
      <w:r w:rsidRPr="001F7599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lastRenderedPageBreak/>
        <w:t xml:space="preserve">administra o Município; estabelece, apenas, normas de administração. Não executa obras e serviços públicos; dispõe, unicamente, sobre sua execução. </w:t>
      </w:r>
      <w:r w:rsidRPr="001F7599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>Não compõe nem dirige o funcionalismo da Prefeitura; edita, tão- somente, preceitos para a sua organização e direção</w:t>
      </w:r>
      <w:r w:rsidRPr="001F7599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. Não arrecada nem aplica as rendas locais; apenas institui ou altera tributos e autoriza a sua arrecadação e aplicação. Não governa o Município, mas regula e controla a atuação governamental do Executivo, personalizado no prefeito." "Eis aí a distinção marcante entre a missão normativa da Câmara e a função executiva do prefeito; </w:t>
      </w:r>
      <w:r w:rsidRPr="001F7599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>o Legislativo delibera e atua com caráter regulatório, genérico e abstrato;</w:t>
      </w:r>
      <w:r w:rsidRPr="001F7599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 o Executivo consubstancia os mandamentos da norma legislativa em atos específicos e concretos de administração." (in "Direito Municipal Brasileiro", 15ª. ed., São Paulo: Malheiros, 2006, p. 605) (grifo nosso)</w:t>
      </w:r>
    </w:p>
    <w:p w14:paraId="3D146E63" w14:textId="77777777" w:rsidR="00F01A9A" w:rsidRPr="001F7599" w:rsidRDefault="00F01A9A" w:rsidP="00F01A9A">
      <w:pPr>
        <w:ind w:left="2268"/>
        <w:jc w:val="both"/>
        <w:rPr>
          <w:rFonts w:ascii="Arial Narrow" w:hAnsi="Arial Narrow"/>
          <w:i/>
          <w:iCs/>
          <w:color w:val="244061" w:themeColor="accent1" w:themeShade="80"/>
        </w:rPr>
      </w:pPr>
    </w:p>
    <w:p w14:paraId="53DBAD5F" w14:textId="77777777" w:rsidR="00F01A9A" w:rsidRPr="007142F1" w:rsidRDefault="00F01A9A" w:rsidP="00F01A9A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>Os Tribunais entendem que a Lei autorizativa não tem o condão de afastar o vício formal de iniciativa, pois não cabe ao Poder Legislativo autorizar atos de gestão preestabelecidos que são de competência do Poder Executivo:</w:t>
      </w:r>
    </w:p>
    <w:p w14:paraId="2D96F473" w14:textId="77777777" w:rsidR="00F01A9A" w:rsidRPr="007142F1" w:rsidRDefault="00F01A9A" w:rsidP="00F01A9A">
      <w:pPr>
        <w:jc w:val="both"/>
        <w:rPr>
          <w:rFonts w:ascii="Arial Narrow" w:hAnsi="Arial Narrow"/>
        </w:rPr>
      </w:pPr>
    </w:p>
    <w:p w14:paraId="132C9893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7142F1">
        <w:rPr>
          <w:rFonts w:ascii="Arial Narrow" w:hAnsi="Arial Narrow"/>
          <w:b/>
          <w:bCs/>
          <w:sz w:val="20"/>
          <w:szCs w:val="20"/>
        </w:rPr>
        <w:t>ARGUIÇÃO DE INCONSTITUCIONALIDADE DA LEI Nº 2.653, DE 1º DE AGOSTO DE 2008, DO MUNICÍPIO DO RESENDE A QUAL AUTORIZA O PODER EXECUTIVO A AUMENTAR DE 50% PARA 80% O PERCENTUAL DO ADICIONAL DE RISCO DE VIDA </w:t>
      </w:r>
      <w:bookmarkStart w:id="2" w:name="LPHit2"/>
      <w:bookmarkEnd w:id="2"/>
      <w:r w:rsidRPr="007142F1">
        <w:rPr>
          <w:rFonts w:ascii="Arial Narrow" w:hAnsi="Arial Narrow"/>
          <w:b/>
          <w:bCs/>
          <w:sz w:val="20"/>
          <w:szCs w:val="20"/>
        </w:rPr>
        <w:t>DOS GUARDAS MUNICIPAIS. INCONSTITUCIONALIDADE FORMAL. NORMA IMPUGNADA, DE INICIATIVA PARLAMENTAR, QUE DISPÕE SOBRE REMUNERAÇÃO DO SERVIDOR PÚBLICO DA ADMINISTRAÇÃO PÚBLICA DIRETA MUNICIPAL, SEM RESPEITAR A COMPETÊNCIA RESERVADA DO CHEFE DO PODER EXECUTIVO PARA LEGISLAR SOBRE O TEMA, VIOLANDO O DISPOSTO NO ARTIGO 61, §1º, INCISO II, ALÍNEA A, DA CONSTITUIÇÃO FEDERAL, REPRODUZIDO POR SIMETRIA PELO ARTIGO 112, § 1º, INCISO II, ALÍNEA `A-, DA CONSTITUIÇÃO DO ESTADO DO RIO DE JANEIRO. </w:t>
      </w:r>
      <w:r w:rsidRPr="007142F1">
        <w:rPr>
          <w:rFonts w:ascii="Arial Narrow" w:hAnsi="Arial Narrow"/>
          <w:sz w:val="20"/>
          <w:szCs w:val="20"/>
        </w:rPr>
        <w:t>Outrossim, o fato da norma atacada se tratar de </w:t>
      </w:r>
      <w:bookmarkStart w:id="3" w:name="LPHit3"/>
      <w:bookmarkEnd w:id="3"/>
      <w:r w:rsidRPr="007142F1">
        <w:rPr>
          <w:rFonts w:ascii="Arial Narrow" w:hAnsi="Arial Narrow"/>
          <w:sz w:val="20"/>
          <w:szCs w:val="20"/>
        </w:rPr>
        <w:t>Lei autorizativa não tem o condão de afastar o vício formal de iniciativa, uma vez que não cabe ao poder legislativo autorizar a prática de atos cuja competência exclusiva é fixada pela própria constituição ao poder executivo, sob pena de subverter o regramento constitucional da </w:t>
      </w:r>
      <w:bookmarkStart w:id="4" w:name="LPHit4"/>
      <w:bookmarkEnd w:id="4"/>
      <w:r w:rsidRPr="007142F1">
        <w:rPr>
          <w:rFonts w:ascii="Arial Narrow" w:hAnsi="Arial Narrow"/>
          <w:sz w:val="20"/>
          <w:szCs w:val="20"/>
        </w:rPr>
        <w:t>separação e independência </w:t>
      </w:r>
      <w:bookmarkStart w:id="5" w:name="LPHit5"/>
      <w:bookmarkEnd w:id="5"/>
      <w:r w:rsidRPr="007142F1">
        <w:rPr>
          <w:rFonts w:ascii="Arial Narrow" w:hAnsi="Arial Narrow"/>
          <w:sz w:val="20"/>
          <w:szCs w:val="20"/>
        </w:rPr>
        <w:t>dos </w:t>
      </w:r>
      <w:bookmarkStart w:id="6" w:name="LPHit6"/>
      <w:bookmarkEnd w:id="6"/>
      <w:r w:rsidRPr="007142F1">
        <w:rPr>
          <w:rFonts w:ascii="Arial Narrow" w:hAnsi="Arial Narrow"/>
          <w:sz w:val="20"/>
          <w:szCs w:val="20"/>
        </w:rPr>
        <w:t>poderes(...). </w:t>
      </w:r>
      <w:r w:rsidRPr="007142F1">
        <w:rPr>
          <w:rFonts w:ascii="Arial Narrow" w:hAnsi="Arial Narrow"/>
          <w:i/>
          <w:iCs/>
          <w:sz w:val="20"/>
          <w:szCs w:val="20"/>
        </w:rPr>
        <w:t>(</w:t>
      </w:r>
      <w:bookmarkStart w:id="7" w:name="LPHit8"/>
      <w:bookmarkEnd w:id="7"/>
      <w:r w:rsidRPr="007142F1">
        <w:rPr>
          <w:rFonts w:ascii="Arial Narrow" w:hAnsi="Arial Narrow"/>
          <w:i/>
          <w:iCs/>
          <w:sz w:val="20"/>
          <w:szCs w:val="20"/>
        </w:rPr>
        <w:t>TJRJ; IncArqInc 0011844-40.2019.8.19.0045; Rio de Janeiro; Rel. Des. Luiz Zveiter; DORJ 28/09/2022; Pág. 105)</w:t>
      </w:r>
    </w:p>
    <w:p w14:paraId="30E60D1B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04918626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7142F1">
        <w:rPr>
          <w:rFonts w:ascii="Arial Narrow" w:hAnsi="Arial Narrow"/>
          <w:b/>
          <w:bCs/>
          <w:i/>
          <w:iCs/>
          <w:sz w:val="20"/>
          <w:szCs w:val="20"/>
        </w:rPr>
        <w:t>AÇÃO DIRETA DE INCONSTITUCIONALIDADE – LEI N. 6.775/2022 – MUNICÍPIO DE CUIABÁ – INICIATIVA DO LEGISLATIVO – LEI MUNICIPAL QUE AUTORIZA O PODER EXECUTIVO A PAGAR INCENTIVO FINANCEIRO ADICIONAL AOS AGENTES COMUNITÁRIOS DE SAÚDE E AGENTES DE COMBATE A ENDEMIAS – VÍCIO DE INICIATIVA – VIOLAÇÃO DO PRINCÍPIO DA SEPARAÇÃO DOS PODERES - INCONSTITUCIONALIDADE FORMAL - NATUREZA AUTORIZATIVA QUE NÃO DESABONA A INCONSTITUCIONALIDADE - AÇÃO PROCEDENTE</w:t>
      </w:r>
      <w:r w:rsidRPr="007142F1">
        <w:rPr>
          <w:rFonts w:ascii="Arial Narrow" w:hAnsi="Arial Narrow"/>
          <w:i/>
          <w:iCs/>
          <w:sz w:val="20"/>
          <w:szCs w:val="20"/>
        </w:rPr>
        <w:t>. 1 . A lei que autoriza o incentivo financeiro adicional aos Agentes Comunitários de Saúde – ACS e aos Agentes de Combate a Endemias – ACE, viola o princípio da separação de poderes, por se tratar de matéria privativa do Poder Executivo. 2. A natureza de lei autorizativa não desabona a conclusão de sua inconstitucionalidade.</w:t>
      </w:r>
    </w:p>
    <w:p w14:paraId="5DD42244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2E3368F7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7142F1">
        <w:rPr>
          <w:rFonts w:ascii="Arial Narrow" w:hAnsi="Arial Narrow"/>
          <w:i/>
          <w:iCs/>
          <w:sz w:val="20"/>
          <w:szCs w:val="20"/>
        </w:rPr>
        <w:t>(TJ-MT - DIRETA DE INCONSTITUCIONALIDADE: 1024509-92 .2023.8.11.0000, Relator.: NÃO INFORMADO, Data de Julgamento: 21/03/2024, Órgão Especial, Data de Publicação: 02/04/2024)</w:t>
      </w:r>
    </w:p>
    <w:p w14:paraId="054E928B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32588490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08E24648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7142F1">
        <w:rPr>
          <w:rFonts w:ascii="Arial Narrow" w:hAnsi="Arial Narrow"/>
          <w:i/>
          <w:iCs/>
          <w:sz w:val="20"/>
          <w:szCs w:val="20"/>
        </w:rPr>
        <w:t xml:space="preserve">1. A lei criada por inciativa do Poder Legislativo, em matéria de competência exclusiva do Poder executivo, evidencia vício de iniciativa caracterizador de sua inconstitucionalidade, não a convalidando a sanção pelo Prefeito Municipal. 2. A circunstância de se cuidar de lei meramente </w:t>
      </w:r>
      <w:r w:rsidRPr="007142F1">
        <w:rPr>
          <w:rFonts w:ascii="Arial Narrow" w:hAnsi="Arial Narrow"/>
          <w:i/>
          <w:iCs/>
          <w:sz w:val="20"/>
          <w:szCs w:val="20"/>
        </w:rPr>
        <w:lastRenderedPageBreak/>
        <w:t>autorizativa não elide, suprime ou elimina a sua inconstitucionalidade pelo fato de estar ela dispondo sobre matéria reservada â iniciativa privativa do Poder Executivo .</w:t>
      </w:r>
    </w:p>
    <w:p w14:paraId="6BAEF3F2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7142F1">
        <w:rPr>
          <w:rFonts w:ascii="Arial Narrow" w:hAnsi="Arial Narrow"/>
          <w:i/>
          <w:iCs/>
          <w:sz w:val="20"/>
          <w:szCs w:val="20"/>
        </w:rPr>
        <w:t>(TJ-SP - ADI: 01987668220128260000 SP 0198766-82.2012.8.26 .0000, Relator.: Itamar Gaino, Data de Julgamento: 27/03/2013, Órgão Especial, Data de Publicação: 18/04/2013)</w:t>
      </w:r>
    </w:p>
    <w:p w14:paraId="31D1892B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4E881302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7142F1">
        <w:rPr>
          <w:rFonts w:ascii="Arial Narrow" w:hAnsi="Arial Narrow"/>
          <w:i/>
          <w:iCs/>
          <w:sz w:val="20"/>
          <w:szCs w:val="20"/>
        </w:rPr>
        <w:t>AÇÃO DIRETA DE INCONSTITUCIONALIDADE – LEI Nº 6.456, DE 09 DE NOVEMBRO DE 2023, QUE AUTORIZA A IMPLEMENTAÇÃO DO SISTEMA DE INCLUSÃO ESCOLAR "ABA" PARA CRIANÇAS COM AUTISMO NAS ESCOLAS DA REDE PÚBLICA DO MUNICÍPIO DE CATANDUVA – VIOLAÇÃO À INDEPENDÊNCIA E HARMONIA DOS PODERES – INVASÃO DE MATÉRIA RESERVADA À ADMINISTRAÇÃO. 1. Lei de iniciativa parlamentar que autoriza a Administração Municipal a (a) incluir, na Rede Municipal de Ensino, o Sistema de Inclusão Escolar baseado na técnica ABA – Análise do Comportamento Aplicada, para crianças e adolescentes diagnosticados com Transtorno do Espectro Autista – TEA e (b) avaliar estabelecimentos de ensino que já contam com estrutura física e de pessoal para iniciar gradativamente a inclusão prevista na norma legal . Desnecessidade de autorização legislativa. Admitir a autorização pressupõe admitir também a desautorização, o que é impensável e evidencia invasão de competência administrativa e ofensa ao postulado da separação, independência e harmonia entre os Poderes. Violação ao art. 5º da Constituição Estadual . 2. Lei que invade a esfera administrativa dizendo qual órgão do Poder Executivo ficará incumbido de realizar parcerias com faculdades, associações e instituições para capacitação de profissionais de diversas áreas, dispondo sobre a forma como se dará a participação dessas entidades, retirando do Executivo o poder de escolha e decisão, em clara ofensa à separação dos Poderes. Intromissão em atos de gestão e gerência de políticas públicas. Ofensa à reserva da Administração (art . 47, II e XIV, da CE). Precedentes. Ação direta de inconstitucionalidade procedente.</w:t>
      </w:r>
    </w:p>
    <w:p w14:paraId="554E0C24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2E34A7CE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7142F1">
        <w:rPr>
          <w:rFonts w:ascii="Arial Narrow" w:hAnsi="Arial Narrow"/>
          <w:i/>
          <w:iCs/>
          <w:sz w:val="20"/>
          <w:szCs w:val="20"/>
        </w:rPr>
        <w:t>(TJ-SP - Direta de Inconstitucionalidade: 23476503320238260000 São Paulo, Relator.: Décio Notarangeli, Data de Julgamento: 21/08/2024, Órgão Especial, Data de Publicação: 09/09/2024)</w:t>
      </w:r>
    </w:p>
    <w:p w14:paraId="351664CD" w14:textId="77777777" w:rsidR="00F01A9A" w:rsidRPr="007142F1" w:rsidRDefault="00F01A9A" w:rsidP="00F01A9A">
      <w:pPr>
        <w:ind w:left="2268"/>
        <w:jc w:val="both"/>
        <w:rPr>
          <w:rFonts w:ascii="Arial Narrow" w:hAnsi="Arial Narrow"/>
        </w:rPr>
      </w:pPr>
    </w:p>
    <w:p w14:paraId="598638D7" w14:textId="6EB5E3CC" w:rsidR="007E73A4" w:rsidRDefault="00F01A9A" w:rsidP="000B5EB1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>No caso vertente, muito embora a intenção motivadora da proposição seja altamente nobre e relevante o Projeto de Lei deve respeitar os limites da atuação legislativa, evitando a imposição, mesmo que de forma implícita, de obrigações que possam comprometer a autonomia do Executivo.</w:t>
      </w:r>
    </w:p>
    <w:p w14:paraId="27898875" w14:textId="6244BD01" w:rsidR="007E73A4" w:rsidRDefault="007E73A4" w:rsidP="00F01A9A">
      <w:pPr>
        <w:ind w:firstLine="708"/>
        <w:jc w:val="both"/>
        <w:rPr>
          <w:rFonts w:ascii="Arial Narrow" w:hAnsi="Arial Narrow"/>
        </w:rPr>
      </w:pPr>
    </w:p>
    <w:p w14:paraId="3961D59D" w14:textId="77777777" w:rsidR="007E73A4" w:rsidRPr="000B5EB1" w:rsidRDefault="007E73A4" w:rsidP="007E73A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bCs/>
          <w:u w:val="single"/>
        </w:rPr>
      </w:pPr>
      <w:r w:rsidRPr="000B5EB1">
        <w:rPr>
          <w:rFonts w:ascii="Arial Narrow" w:hAnsi="Arial Narrow" w:cs="Segoe UI"/>
          <w:b/>
          <w:bCs/>
          <w:u w:val="single"/>
        </w:rPr>
        <w:t>DA CRIAÇÃO DE ATRIBUIÇÕES DIRETAS AO PODER EXECUTIVO – PROPOSIÇÃO DE INICIATIVA PARLAMENTAR - INTERFERÊNCIA INDEVIDA DO PODER LEGISLATIVO NAS FUNÇÕES ADMINISTRATIVAS DO PODER EXECUTIVO – VIOLAÇÃO DO ART. 2º DA CARTA MAIOR – INTERFERÊNCIA NA GESTÃO DE ORGÃO -</w:t>
      </w:r>
      <w:r w:rsidRPr="000B5EB1">
        <w:rPr>
          <w:rFonts w:ascii="Arial Narrow" w:hAnsi="Arial Narrow"/>
          <w:b/>
          <w:bCs/>
          <w:u w:val="single"/>
        </w:rPr>
        <w:t xml:space="preserve"> INSTITUIÇÃO DE POLÍTICA PÚBLICA PERMANENTE. LEI MUNICIPAL. AUTORIA PARLAMENTAR - INCONSTITUCIONALIDADE FORMAL E MATERIAL CONFIGURADA</w:t>
      </w:r>
      <w:r w:rsidRPr="000B5EB1">
        <w:rPr>
          <w:rFonts w:ascii="Arial Narrow" w:hAnsi="Arial Narrow" w:cs="Segoe UI"/>
          <w:b/>
          <w:bCs/>
          <w:u w:val="single"/>
        </w:rPr>
        <w:t>.</w:t>
      </w:r>
      <w:r w:rsidRPr="000B5EB1">
        <w:rPr>
          <w:rFonts w:ascii="Arial Narrow" w:hAnsi="Arial Narrow" w:cs="Segoe UI"/>
          <w:u w:val="single"/>
        </w:rPr>
        <w:t> </w:t>
      </w:r>
    </w:p>
    <w:p w14:paraId="794CC398" w14:textId="77777777" w:rsidR="007E73A4" w:rsidRPr="007142F1" w:rsidRDefault="007E73A4" w:rsidP="007E73A4">
      <w:pPr>
        <w:spacing w:line="276" w:lineRule="auto"/>
        <w:jc w:val="both"/>
        <w:rPr>
          <w:rFonts w:ascii="Arial Narrow" w:hAnsi="Arial Narrow" w:cs="Calibri"/>
          <w:color w:val="333333"/>
          <w:shd w:val="clear" w:color="auto" w:fill="FFFFFF"/>
        </w:rPr>
      </w:pPr>
    </w:p>
    <w:p w14:paraId="72712C83" w14:textId="45DD592A" w:rsidR="005F0485" w:rsidRDefault="005F0485" w:rsidP="005F0485">
      <w:pPr>
        <w:spacing w:line="276" w:lineRule="auto"/>
        <w:ind w:firstLine="1134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Pr="00FC0544">
        <w:rPr>
          <w:rFonts w:ascii="Arial Narrow" w:hAnsi="Arial Narrow"/>
        </w:rPr>
        <w:t>onstata-se</w:t>
      </w:r>
      <w:r>
        <w:rPr>
          <w:rFonts w:ascii="Arial Narrow" w:hAnsi="Arial Narrow"/>
        </w:rPr>
        <w:t xml:space="preserve"> no Projeto de Lei </w:t>
      </w:r>
      <w:r w:rsidRPr="00FC0544">
        <w:rPr>
          <w:rFonts w:ascii="Arial Narrow" w:hAnsi="Arial Narrow"/>
        </w:rPr>
        <w:t xml:space="preserve">analisado que </w:t>
      </w:r>
      <w:r>
        <w:rPr>
          <w:rFonts w:ascii="Arial Narrow" w:hAnsi="Arial Narrow"/>
        </w:rPr>
        <w:t xml:space="preserve">no artigo 3º, </w:t>
      </w:r>
      <w:r w:rsidRPr="00FC0544">
        <w:rPr>
          <w:rFonts w:ascii="Arial Narrow" w:hAnsi="Arial Narrow"/>
        </w:rPr>
        <w:t xml:space="preserve">trata da estrutura da </w:t>
      </w:r>
      <w:r>
        <w:rPr>
          <w:rFonts w:ascii="Arial Narrow" w:hAnsi="Arial Narrow"/>
        </w:rPr>
        <w:t>criação de atribuições diretas ao Poder Executivo:</w:t>
      </w:r>
    </w:p>
    <w:p w14:paraId="57B28C9A" w14:textId="2D982E31" w:rsidR="001F7599" w:rsidRPr="001F7599" w:rsidRDefault="001F7599" w:rsidP="001F7599">
      <w:pPr>
        <w:ind w:left="2268"/>
        <w:jc w:val="both"/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</w:pPr>
      <w:r w:rsidRPr="001F7599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Art. 3º A operacionalização do Banco Municipal de Oportunidades para Jovens </w:t>
      </w:r>
      <w:r w:rsidRPr="001F7599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>dependerá de regulamentação específica pelo Poder Executivo</w:t>
      </w:r>
      <w:r w:rsidRPr="001F7599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>, mediante decreto próprio.</w:t>
      </w:r>
      <w:r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 (grifo nosso)</w:t>
      </w:r>
    </w:p>
    <w:p w14:paraId="2BBA42A7" w14:textId="5D47CF45" w:rsidR="007E73A4" w:rsidRPr="007142F1" w:rsidRDefault="007E73A4" w:rsidP="001F7599">
      <w:pPr>
        <w:spacing w:line="276" w:lineRule="auto"/>
        <w:ind w:firstLine="708"/>
        <w:jc w:val="both"/>
        <w:rPr>
          <w:rFonts w:ascii="Arial Narrow" w:hAnsi="Arial Narrow" w:cs="Calibri"/>
          <w:color w:val="333333"/>
          <w:shd w:val="clear" w:color="auto" w:fill="FFFFFF"/>
        </w:rPr>
      </w:pPr>
      <w:r w:rsidRPr="007142F1">
        <w:rPr>
          <w:rFonts w:ascii="Arial Narrow" w:hAnsi="Arial Narrow" w:cs="Calibri"/>
          <w:color w:val="333333"/>
          <w:shd w:val="clear" w:color="auto" w:fill="FFFFFF"/>
        </w:rPr>
        <w:t xml:space="preserve">É pacífico o entendimento do Supremo Tribunal Federal e dos Tribunais no sentido de que o Projeto de </w:t>
      </w:r>
      <w:r w:rsidR="001F7599">
        <w:rPr>
          <w:rFonts w:ascii="Arial Narrow" w:hAnsi="Arial Narrow" w:cs="Calibri"/>
          <w:color w:val="333333"/>
          <w:shd w:val="clear" w:color="auto" w:fill="FFFFFF"/>
        </w:rPr>
        <w:t>L</w:t>
      </w:r>
      <w:r w:rsidRPr="007142F1">
        <w:rPr>
          <w:rFonts w:ascii="Arial Narrow" w:hAnsi="Arial Narrow" w:cs="Calibri"/>
          <w:color w:val="333333"/>
          <w:shd w:val="clear" w:color="auto" w:fill="FFFFFF"/>
        </w:rPr>
        <w:t>ei que dá novas atribuições ou responsabilidades diretas ao Poder Executivo, viola o consagrado princípio da harmonia e separação dos poderes (ART. 2º da CF88) tornando-se, portanto, inconstitucional:</w:t>
      </w:r>
    </w:p>
    <w:p w14:paraId="239BD2DE" w14:textId="77777777" w:rsidR="007E73A4" w:rsidRPr="007142F1" w:rsidRDefault="007E73A4" w:rsidP="007E73A4">
      <w:pPr>
        <w:ind w:left="2265"/>
        <w:jc w:val="both"/>
        <w:textAlignment w:val="baseline"/>
        <w:rPr>
          <w:rFonts w:ascii="Arial Narrow" w:hAnsi="Arial Narrow" w:cs="Segoe UI"/>
          <w:color w:val="333333"/>
          <w:sz w:val="20"/>
          <w:szCs w:val="20"/>
        </w:rPr>
      </w:pPr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lastRenderedPageBreak/>
        <w:t xml:space="preserve">EMENTA Agravo regimental em recurso extraordinário. Constitucional. Representação por inconstitucionalidade. Lei nº 6 .095/16 do Município do Rio de Janeiro, de origem parlamentar, a qual cria “o selo de qualidade de alimentos e de atendimento na comercialização da comida de rua”. Criação de novas atribuições para órgão do Poder Executivo. Inconstitucionalidade formal. Precedentes . </w:t>
      </w:r>
      <w:r w:rsidRPr="007142F1">
        <w:rPr>
          <w:rFonts w:ascii="Arial Narrow" w:hAnsi="Arial Narrow" w:cs="Segoe UI"/>
          <w:b/>
          <w:bCs/>
          <w:color w:val="333333"/>
          <w:sz w:val="20"/>
          <w:szCs w:val="20"/>
          <w:shd w:val="clear" w:color="auto" w:fill="FFFFFF"/>
        </w:rPr>
        <w:t>1. Segundo a pacífica jurisprudência da Corte, padece de inconstitucionalidade formal a lei resultante de iniciativa parlamentar que disponha sobre novas atribuições, organização e funcionamento de órgãos públicos, haja vista que essa matéria é afeta ao chefe do Poder Executivo.</w:t>
      </w:r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 xml:space="preserve"> Precedentes: ARE nº 1.022 .397-AgR, de minha relatoria, Segunda Turma, DJe de 29/6/18; ARE nº 1.007.409/MT-AgR, Primeira Turma, Rel. Min . Roberto Barroso, DJe de 13/3/17; ADI nº 1.509/DF-AgR, Tribunal Pleno, Rel. Min. Gilmar Mendes, DJe de 18/11/14 . 2</w:t>
      </w:r>
      <w:r w:rsidRPr="007142F1">
        <w:rPr>
          <w:rFonts w:ascii="Arial Narrow" w:hAnsi="Arial Narrow" w:cs="Segoe UI"/>
          <w:b/>
          <w:bCs/>
          <w:color w:val="333333"/>
          <w:sz w:val="20"/>
          <w:szCs w:val="20"/>
          <w:shd w:val="clear" w:color="auto" w:fill="FFFFFF"/>
        </w:rPr>
        <w:t>. Embora a lei municipal, cujos méritos não estão em questão, tenha sido concebida para proteger e cuidar da saúde pública, a reserva de iniciativa deve ser preservada.</w:t>
      </w:r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 xml:space="preserve"> 3. Agravo regimental não provido .(STF - RE: 1337675 RJ 0019862-54.2020.8.19 .0000, Relator.: DIAS TOFFOLI, Data de Julgamento: 16/05/2022, Primeira Turma, Data de Publicação: 20/06/2022)</w:t>
      </w:r>
      <w:r w:rsidRPr="007142F1">
        <w:rPr>
          <w:rFonts w:ascii="Arial Narrow" w:hAnsi="Arial Narrow" w:cs="Segoe UI"/>
          <w:color w:val="333333"/>
          <w:sz w:val="20"/>
          <w:szCs w:val="20"/>
        </w:rPr>
        <w:t> </w:t>
      </w:r>
    </w:p>
    <w:p w14:paraId="7C74E618" w14:textId="77777777" w:rsidR="007E73A4" w:rsidRPr="007142F1" w:rsidRDefault="007E73A4" w:rsidP="001F7599">
      <w:pPr>
        <w:jc w:val="both"/>
        <w:textAlignment w:val="baseline"/>
        <w:rPr>
          <w:rFonts w:ascii="Arial Narrow" w:hAnsi="Arial Narrow" w:cs="Segoe UI"/>
          <w:sz w:val="20"/>
          <w:szCs w:val="20"/>
        </w:rPr>
      </w:pPr>
    </w:p>
    <w:p w14:paraId="2BAC1B75" w14:textId="77777777" w:rsidR="007E73A4" w:rsidRPr="007142F1" w:rsidRDefault="007E73A4" w:rsidP="007E73A4">
      <w:pPr>
        <w:ind w:left="2265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AÇÃO DIRETA DE INCONSTITUCIONALIDADE. ADI. LEI Nº 4.811/2021 DO MUNICÍPIO DE CATAGUASES. INICIATIVA PARLAMENTAR. NORMA QUE ESTABELECE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DIRETRIZES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PARA AS A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ÇÕ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ES DE DIGNIDADE MENSTRUAL. INTERFERÊNCIA NA ESTRUTURA E ORGANIZAÇÃO DA SECRETARIA DE SAÚDE E SECRETARIA DE EDUCAÇÃO. MATÉRIA 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COMPET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NCIA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LEGISLATIVA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PRIVATIVA DO CHEFE DO PODER EXECUTIVO. ARTIGO 66, INCISO III, AL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NEA "E", DA CONSTITUI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 DO ESTADO. INCONSTITUCIONALIDADE. PRINCÍPIO DA SEPARAÇÃO DE PODERES. PROCEDÊNCIA DA AÇÃO.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A Lei nº 4.811/2021 do Município de Cataguases, de iniciativa parlamentar,, viola a regra de iniciativa privativa do Chefe do Poder Executivo prevista no 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artigo 66, inciso III, alínea e, da Constituição Estadual,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 bem como o princípio da separação e independência dos Poderes, previsto no artigo 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173 da referida Constituição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, 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porque, ao dispor sobre as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diretrizes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para as a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çõ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es de promo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 da dignidade menstrual, de conscientiza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 atrav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é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s de palestras e rodas de conversa, informa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 sobre a menstrua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 e o fornecimento de absorventes higi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nicos, interfere na estrutura, organização e gestão das Secretarias Municipais de Saúde e de Educação.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(TJMG; ADI 1819010-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06.2024.8.13.0000; Órgão Especial; Rel. Des. Moreira Diniz; Julg. 13/11/2024; DJEMG 10/12/2024)</w:t>
      </w:r>
      <w:r w:rsidRPr="007142F1">
        <w:rPr>
          <w:rFonts w:ascii="Arial Narrow" w:hAnsi="Arial Narrow" w:cs="Segoe UI"/>
          <w:sz w:val="20"/>
          <w:szCs w:val="20"/>
        </w:rPr>
        <w:t> </w:t>
      </w:r>
    </w:p>
    <w:p w14:paraId="76BFCEA3" w14:textId="52F0EC9D" w:rsidR="007E73A4" w:rsidRPr="007142F1" w:rsidRDefault="007E73A4" w:rsidP="000B5EB1">
      <w:pPr>
        <w:ind w:left="2265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7142F1">
        <w:rPr>
          <w:rFonts w:ascii="Arial Narrow" w:hAnsi="Arial Narrow" w:cs="Segoe UI"/>
          <w:sz w:val="20"/>
          <w:szCs w:val="20"/>
        </w:rPr>
        <w:t> </w:t>
      </w:r>
    </w:p>
    <w:p w14:paraId="376742F8" w14:textId="77777777" w:rsidR="007E73A4" w:rsidRPr="007142F1" w:rsidRDefault="007E73A4" w:rsidP="007E73A4">
      <w:pPr>
        <w:ind w:left="2265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DIREITO CONSTITUCIONAL. AÇÃO DIRETA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INCONSTITUCIONALIDADE.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LEI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MUNICIPAL. FORNECIMENTO GRATUITO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 xml:space="preserve">MEDICAMENTOS 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À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 xml:space="preserve"> BASE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CANABIDIOL. V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CIO FORMAL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INICIATIVA. INVAS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COMPET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NCIA DO CHEFE DO PODER EXECUTIVO. PROCED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NCIA DO PEDIDO. I. CASO EM EXAME.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1. Ação direta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inconstitucionalidade, com pedido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medida cautelar, proposta pelo Prefeito Municipal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Bicas/MG contra 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Lei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Municipal n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º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 2.172/2023, que institui pol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i/>
          <w:iCs/>
          <w:sz w:val="20"/>
          <w:szCs w:val="20"/>
        </w:rPr>
        <w:t>tica municipal para fornecimento gratuito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medicamentos 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à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 base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canabidiol e outros canabinoides nas unidades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sa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ú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 p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ú</w:t>
      </w:r>
      <w:r w:rsidRPr="007142F1">
        <w:rPr>
          <w:rFonts w:ascii="Arial Narrow" w:hAnsi="Arial Narrow" w:cs="Segoe UI"/>
          <w:i/>
          <w:iCs/>
          <w:sz w:val="20"/>
          <w:szCs w:val="20"/>
        </w:rPr>
        <w:t>blica municipal e privada conveniada ao SUS. Alega o autor que a norma apresenta vício formal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iniciativa, pois foi promulgada pela C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â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mara Municipal ap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ó</w:t>
      </w:r>
      <w:r w:rsidRPr="007142F1">
        <w:rPr>
          <w:rFonts w:ascii="Arial Narrow" w:hAnsi="Arial Narrow" w:cs="Segoe UI"/>
          <w:i/>
          <w:iCs/>
          <w:sz w:val="20"/>
          <w:szCs w:val="20"/>
        </w:rPr>
        <w:t>s veto do Executivo, acarretando aumento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despesa e inger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i/>
          <w:iCs/>
          <w:sz w:val="20"/>
          <w:szCs w:val="20"/>
        </w:rPr>
        <w:t>ncia em atos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gest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 administrativa da Secretaria Municipal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Sa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ú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de, sem prévia estimativa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impacto or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</w:t>
      </w:r>
      <w:r w:rsidRPr="007142F1">
        <w:rPr>
          <w:rFonts w:ascii="Arial Narrow" w:hAnsi="Arial Narrow" w:cs="Segoe UI"/>
          <w:i/>
          <w:iCs/>
          <w:sz w:val="20"/>
          <w:szCs w:val="20"/>
        </w:rPr>
        <w:t>ament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á</w:t>
      </w:r>
      <w:r w:rsidRPr="007142F1">
        <w:rPr>
          <w:rFonts w:ascii="Arial Narrow" w:hAnsi="Arial Narrow" w:cs="Segoe UI"/>
          <w:i/>
          <w:iCs/>
          <w:sz w:val="20"/>
          <w:szCs w:val="20"/>
        </w:rPr>
        <w:t>rio e financeiro. II. QUEST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 EM DISCUSS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O2. H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á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 duas quest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õ</w:t>
      </w:r>
      <w:r w:rsidRPr="007142F1">
        <w:rPr>
          <w:rFonts w:ascii="Arial Narrow" w:hAnsi="Arial Narrow" w:cs="Segoe UI"/>
          <w:i/>
          <w:iCs/>
          <w:sz w:val="20"/>
          <w:szCs w:val="20"/>
        </w:rPr>
        <w:t>es em discuss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o: (I) definir se 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Lei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Municipal n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º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 2.172/2023 padece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v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i/>
          <w:iCs/>
          <w:sz w:val="20"/>
          <w:szCs w:val="20"/>
        </w:rPr>
        <w:t>cio formal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iniciativa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por tratar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mat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é</w:t>
      </w:r>
      <w:r w:rsidRPr="007142F1">
        <w:rPr>
          <w:rFonts w:ascii="Arial Narrow" w:hAnsi="Arial Narrow" w:cs="Segoe UI"/>
          <w:i/>
          <w:iCs/>
          <w:sz w:val="20"/>
          <w:szCs w:val="20"/>
        </w:rPr>
        <w:t>ria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compet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i/>
          <w:iCs/>
          <w:sz w:val="20"/>
          <w:szCs w:val="20"/>
        </w:rPr>
        <w:t>ncia privativa do Chefe do Poder Executivo; e (II) verificar se a ausência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estudo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impacto financeiro e or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</w:t>
      </w:r>
      <w:r w:rsidRPr="007142F1">
        <w:rPr>
          <w:rFonts w:ascii="Arial Narrow" w:hAnsi="Arial Narrow" w:cs="Segoe UI"/>
          <w:i/>
          <w:iCs/>
          <w:sz w:val="20"/>
          <w:szCs w:val="20"/>
        </w:rPr>
        <w:t>ament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á</w:t>
      </w:r>
      <w:r w:rsidRPr="007142F1">
        <w:rPr>
          <w:rFonts w:ascii="Arial Narrow" w:hAnsi="Arial Narrow" w:cs="Segoe UI"/>
          <w:i/>
          <w:iCs/>
          <w:sz w:val="20"/>
          <w:szCs w:val="20"/>
        </w:rPr>
        <w:t>rio na norma questionada configura inconstitucionalidade formal. III. RAZ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Õ</w:t>
      </w:r>
      <w:r w:rsidRPr="007142F1">
        <w:rPr>
          <w:rFonts w:ascii="Arial Narrow" w:hAnsi="Arial Narrow" w:cs="Segoe UI"/>
          <w:i/>
          <w:iCs/>
          <w:sz w:val="20"/>
          <w:szCs w:val="20"/>
        </w:rPr>
        <w:t>ES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DECIDIR3. A compet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i/>
          <w:iCs/>
          <w:sz w:val="20"/>
          <w:szCs w:val="20"/>
        </w:rPr>
        <w:t>ncia para dispor sobre a organiza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 e o funcionamento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ó</w:t>
      </w:r>
      <w:r w:rsidRPr="007142F1">
        <w:rPr>
          <w:rFonts w:ascii="Arial Narrow" w:hAnsi="Arial Narrow" w:cs="Segoe UI"/>
          <w:i/>
          <w:iCs/>
          <w:sz w:val="20"/>
          <w:szCs w:val="20"/>
        </w:rPr>
        <w:t>rg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os da Administração Pública é privativa do Chefe do Poder Executivo, conforme os arts. 66, III, b, g, h e I, 90, V e XIV, 161, I e II, e 173, § 1º, da Constituição do Estado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Minas Gerais. 4. 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Lei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Municipal, ao instituir pol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i/>
          <w:iCs/>
          <w:sz w:val="20"/>
          <w:szCs w:val="20"/>
        </w:rPr>
        <w:t>tica p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ú</w:t>
      </w:r>
      <w:r w:rsidRPr="007142F1">
        <w:rPr>
          <w:rFonts w:ascii="Arial Narrow" w:hAnsi="Arial Narrow" w:cs="Segoe UI"/>
          <w:i/>
          <w:iCs/>
          <w:sz w:val="20"/>
          <w:szCs w:val="20"/>
        </w:rPr>
        <w:t>blica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fornecimento </w:t>
      </w:r>
      <w:r w:rsidRPr="007142F1">
        <w:rPr>
          <w:rFonts w:ascii="Arial Narrow" w:hAnsi="Arial Narrow" w:cs="Segoe UI"/>
          <w:i/>
          <w:iCs/>
          <w:sz w:val="20"/>
          <w:szCs w:val="20"/>
        </w:rPr>
        <w:lastRenderedPageBreak/>
        <w:t>gratuito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medicamentos e atribuir a responsabilidade pela execu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o 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à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 Secretaria Municipal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Sa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ú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de, interfere em mat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é</w:t>
      </w:r>
      <w:r w:rsidRPr="007142F1">
        <w:rPr>
          <w:rFonts w:ascii="Arial Narrow" w:hAnsi="Arial Narrow" w:cs="Segoe UI"/>
          <w:i/>
          <w:iCs/>
          <w:sz w:val="20"/>
          <w:szCs w:val="20"/>
        </w:rPr>
        <w:t>ria reservada ao Executivo, violando o princ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i/>
          <w:iCs/>
          <w:sz w:val="20"/>
          <w:szCs w:val="20"/>
        </w:rPr>
        <w:t>pio da separa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 dos Poderes e o princ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i/>
          <w:iCs/>
          <w:sz w:val="20"/>
          <w:szCs w:val="20"/>
        </w:rPr>
        <w:t>pio da reserva da administra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o. 5. A cria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despesas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natureza continuada sem a pr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é</w:t>
      </w:r>
      <w:r w:rsidRPr="007142F1">
        <w:rPr>
          <w:rFonts w:ascii="Arial Narrow" w:hAnsi="Arial Narrow" w:cs="Segoe UI"/>
          <w:i/>
          <w:iCs/>
          <w:sz w:val="20"/>
          <w:szCs w:val="20"/>
        </w:rPr>
        <w:t>via estimativa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impacto or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</w:t>
      </w:r>
      <w:r w:rsidRPr="007142F1">
        <w:rPr>
          <w:rFonts w:ascii="Arial Narrow" w:hAnsi="Arial Narrow" w:cs="Segoe UI"/>
          <w:i/>
          <w:iCs/>
          <w:sz w:val="20"/>
          <w:szCs w:val="20"/>
        </w:rPr>
        <w:t>ament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á</w:t>
      </w:r>
      <w:r w:rsidRPr="007142F1">
        <w:rPr>
          <w:rFonts w:ascii="Arial Narrow" w:hAnsi="Arial Narrow" w:cs="Segoe UI"/>
          <w:i/>
          <w:iCs/>
          <w:sz w:val="20"/>
          <w:szCs w:val="20"/>
        </w:rPr>
        <w:t>rio e financeiro infringe o art. 113 do ADCT, aplic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á</w:t>
      </w:r>
      <w:r w:rsidRPr="007142F1">
        <w:rPr>
          <w:rFonts w:ascii="Arial Narrow" w:hAnsi="Arial Narrow" w:cs="Segoe UI"/>
          <w:i/>
          <w:iCs/>
          <w:sz w:val="20"/>
          <w:szCs w:val="20"/>
        </w:rPr>
        <w:t>vel aos munic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i/>
          <w:iCs/>
          <w:sz w:val="20"/>
          <w:szCs w:val="20"/>
        </w:rPr>
        <w:t>pios pelo art. 29 da Constitui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 Federal, e o art. 172 da Constitui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 do Estado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Minas Gerais. 6. Precedentes do Supremo Tribunal Federal e do Tribunal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Justi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</w:t>
      </w:r>
      <w:r w:rsidRPr="007142F1">
        <w:rPr>
          <w:rFonts w:ascii="Arial Narrow" w:hAnsi="Arial Narrow" w:cs="Segoe UI"/>
          <w:i/>
          <w:iCs/>
          <w:sz w:val="20"/>
          <w:szCs w:val="20"/>
        </w:rPr>
        <w:t>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Minas Gerais corroboram o entendimento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que Leis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iniciativa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parlamentar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que imponham atribui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çõ</w:t>
      </w:r>
      <w:r w:rsidRPr="007142F1">
        <w:rPr>
          <w:rFonts w:ascii="Arial Narrow" w:hAnsi="Arial Narrow" w:cs="Segoe UI"/>
          <w:i/>
          <w:iCs/>
          <w:sz w:val="20"/>
          <w:szCs w:val="20"/>
        </w:rPr>
        <w:t>es administrativas ao Executivo e criem despesas sem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previs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 or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</w:t>
      </w:r>
      <w:r w:rsidRPr="007142F1">
        <w:rPr>
          <w:rFonts w:ascii="Arial Narrow" w:hAnsi="Arial Narrow" w:cs="Segoe UI"/>
          <w:i/>
          <w:iCs/>
          <w:sz w:val="20"/>
          <w:szCs w:val="20"/>
        </w:rPr>
        <w:t>ament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á</w:t>
      </w:r>
      <w:r w:rsidRPr="007142F1">
        <w:rPr>
          <w:rFonts w:ascii="Arial Narrow" w:hAnsi="Arial Narrow" w:cs="Segoe UI"/>
          <w:i/>
          <w:iCs/>
          <w:sz w:val="20"/>
          <w:szCs w:val="20"/>
        </w:rPr>
        <w:t>ria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s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 formalmente inconstitucionais. lV. DISPOSITIVO E TESE7. Pedido procedente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. Tese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julgamento:1. Leis municipais que criem atribui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çõ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es para o Executivo e impliquem despesas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natureza continuada s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iniciativa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privativa do Chefe do Poder Executivo. 2. A aus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ncia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estimativa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impacto or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ament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á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rio e financeiro em proposi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çõ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es que criem despesas para o Executivo configura inconstitucionalidade formal. Dispositivos relevantes citados: Constitui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 do Estado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 xml:space="preserve">Minas Gerais, arts. 66, III, g, h e I; 90, V e XIV; 161, I E II; 173, 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§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 xml:space="preserve"> 1º; ADCT, art. 113; CF/1988, art. 29. Jurisprudência relevante citada: STF, RE 1294053, Rel. Min. Gilmar Mendes, j. 12.03.2021; TJMG, ADI nº 1.0000.23.053386-1/000, Rel. Des. Júlio César Lorens, j. 07.02.2024; TJMG, ADI nº 1.0000.20.475042-6/000, Rel. Des. Sérgio André da Fonseca Xavier, j. 24.09.2021.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 xml:space="preserve">(TJMG; ADI 2927368-82.2023.8.13.0000; 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Ó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rg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 Especial; Rel. Des. Fernando Caldeira Brant; Julg. 23/01/2025; DJEMG 28/01/2025)</w:t>
      </w:r>
      <w:r w:rsidRPr="007142F1">
        <w:rPr>
          <w:rFonts w:ascii="Arial Narrow" w:hAnsi="Arial Narrow" w:cs="Segoe UI"/>
          <w:sz w:val="20"/>
          <w:szCs w:val="20"/>
        </w:rPr>
        <w:t> </w:t>
      </w:r>
    </w:p>
    <w:p w14:paraId="0F80F266" w14:textId="77777777" w:rsidR="007E73A4" w:rsidRPr="007142F1" w:rsidRDefault="007E73A4" w:rsidP="007E73A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bCs/>
          <w:sz w:val="20"/>
          <w:szCs w:val="20"/>
        </w:rPr>
      </w:pPr>
    </w:p>
    <w:p w14:paraId="60DFDF69" w14:textId="77777777" w:rsidR="007E73A4" w:rsidRPr="007142F1" w:rsidRDefault="007E73A4" w:rsidP="007E73A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</w:p>
    <w:p w14:paraId="078AAD5E" w14:textId="77777777" w:rsidR="007E73A4" w:rsidRPr="007142F1" w:rsidRDefault="007E73A4" w:rsidP="007E73A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  <w:r w:rsidRPr="007142F1">
        <w:rPr>
          <w:rFonts w:ascii="Arial Narrow" w:hAnsi="Arial Narrow"/>
        </w:rPr>
        <w:t xml:space="preserve">Qualquer lei que institua política pública permanente relativa à prestação de serviços à população, com necessária alocação de pessoal, recursos orçamentários e destinação de estrutura física, </w:t>
      </w:r>
      <w:r w:rsidRPr="002562CE">
        <w:rPr>
          <w:rFonts w:ascii="Arial Narrow" w:hAnsi="Arial Narrow"/>
          <w:b/>
          <w:bCs/>
        </w:rPr>
        <w:t>necessariamente implica a atribuição de novos encargos a órgãos públicos já existentes e a alteração da organização administrativa do ente federativo</w:t>
      </w:r>
      <w:r w:rsidRPr="007142F1">
        <w:rPr>
          <w:rFonts w:ascii="Arial Narrow" w:hAnsi="Arial Narrow"/>
        </w:rPr>
        <w:t xml:space="preserve">. </w:t>
      </w:r>
    </w:p>
    <w:p w14:paraId="6E29AA0A" w14:textId="77777777" w:rsidR="007E73A4" w:rsidRPr="007142F1" w:rsidRDefault="007E73A4" w:rsidP="007E73A4">
      <w:pPr>
        <w:pStyle w:val="paragraph"/>
        <w:spacing w:before="0" w:beforeAutospacing="0" w:after="0" w:afterAutospacing="0"/>
        <w:ind w:firstLine="1134"/>
        <w:jc w:val="both"/>
        <w:textAlignment w:val="baseline"/>
        <w:rPr>
          <w:rFonts w:ascii="Arial Narrow" w:hAnsi="Arial Narrow"/>
        </w:rPr>
      </w:pPr>
    </w:p>
    <w:p w14:paraId="4F6D38FE" w14:textId="77777777" w:rsidR="007E73A4" w:rsidRPr="007142F1" w:rsidRDefault="007E73A4" w:rsidP="007E73A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  <w:r w:rsidRPr="007142F1">
        <w:rPr>
          <w:rFonts w:ascii="Arial Narrow" w:hAnsi="Arial Narrow"/>
        </w:rPr>
        <w:t>A jurisprudência d</w:t>
      </w:r>
      <w:r>
        <w:rPr>
          <w:rFonts w:ascii="Arial Narrow" w:hAnsi="Arial Narrow"/>
        </w:rPr>
        <w:t>o</w:t>
      </w:r>
      <w:r w:rsidRPr="007142F1">
        <w:rPr>
          <w:rFonts w:ascii="Arial Narrow" w:hAnsi="Arial Narrow"/>
        </w:rPr>
        <w:t xml:space="preserve"> Supremo Tribunal </w:t>
      </w:r>
      <w:r>
        <w:rPr>
          <w:rFonts w:ascii="Arial Narrow" w:hAnsi="Arial Narrow"/>
        </w:rPr>
        <w:t xml:space="preserve">é </w:t>
      </w:r>
      <w:r w:rsidRPr="007142F1">
        <w:rPr>
          <w:rFonts w:ascii="Arial Narrow" w:hAnsi="Arial Narrow"/>
        </w:rPr>
        <w:t xml:space="preserve">no sentido de ser competência privativa do Chefe do Executivo a iniciativa de lei dispondo sobre criação, estruturação e atribuições das secretarias e de órgãos da Administração Pública, sob pena de declaração de inconstitucionalidade pela afronta ao princípio da separação dos Poderes. </w:t>
      </w:r>
    </w:p>
    <w:p w14:paraId="2C304FC0" w14:textId="77777777" w:rsidR="007E73A4" w:rsidRPr="007142F1" w:rsidRDefault="007E73A4" w:rsidP="007E73A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</w:p>
    <w:p w14:paraId="54704CAB" w14:textId="77777777" w:rsidR="007E73A4" w:rsidRPr="007142F1" w:rsidRDefault="007E73A4" w:rsidP="007E73A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  <w:r w:rsidRPr="007142F1">
        <w:rPr>
          <w:rFonts w:ascii="Arial Narrow" w:hAnsi="Arial Narrow"/>
        </w:rPr>
        <w:t xml:space="preserve">No julgamento da Ação Direta de Inconstitucionalidade n. 3.981, Relator o Ministro Roberto Barroso, </w:t>
      </w:r>
      <w:r>
        <w:rPr>
          <w:rFonts w:ascii="Arial Narrow" w:hAnsi="Arial Narrow"/>
        </w:rPr>
        <w:t>o</w:t>
      </w:r>
      <w:r w:rsidRPr="007142F1">
        <w:rPr>
          <w:rFonts w:ascii="Arial Narrow" w:hAnsi="Arial Narrow"/>
        </w:rPr>
        <w:t xml:space="preserve"> Supremo Tribunal fixou a tese de que </w:t>
      </w:r>
      <w:r w:rsidRPr="007142F1">
        <w:rPr>
          <w:rFonts w:ascii="Arial Narrow" w:hAnsi="Arial Narrow"/>
          <w:b/>
          <w:bCs/>
        </w:rPr>
        <w:t>“padece de inconstitucionalidade formal lei de iniciativa parlamentar que disponha sobre atribuições de órgãos da Administração Pública</w:t>
      </w:r>
      <w:r w:rsidRPr="007142F1">
        <w:rPr>
          <w:rFonts w:ascii="Arial Narrow" w:hAnsi="Arial Narrow"/>
        </w:rPr>
        <w:t xml:space="preserve"> (art. 61, § 1º, II, ‘e’ e art. 84, VI, da Constituição Federal)” (DJe 20.5.2020). (STF - RE: 1310964 RJ 0063849-77.2019.8.19.0000, Relator: CÁRMEN LÚCIA, Data de Julgamento: 26/03/2021, Data de Publicação: 29/03/2021).</w:t>
      </w:r>
    </w:p>
    <w:p w14:paraId="733A26BE" w14:textId="77777777" w:rsidR="007E73A4" w:rsidRPr="007142F1" w:rsidRDefault="007E73A4" w:rsidP="007E73A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</w:p>
    <w:p w14:paraId="18ED3313" w14:textId="77777777" w:rsidR="007E73A4" w:rsidRPr="007142F1" w:rsidRDefault="007E73A4" w:rsidP="007E73A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  <w:r w:rsidRPr="007142F1">
        <w:rPr>
          <w:rFonts w:ascii="Arial Narrow" w:hAnsi="Arial Narrow"/>
          <w:sz w:val="20"/>
          <w:szCs w:val="20"/>
        </w:rPr>
        <w:t xml:space="preserve">O Supremo Tribunal Federal firmou orientação no sentido de que compete ao Chefe do Poder Executivo a iniciativa de leis que interfiram na gestão de contratos de concessão de serviços públicos». (ARE 1075713 AgR, Relator (a): Min. ROBERTO BARROSO, Primeira Turma, julgado em 29/06/2018). </w:t>
      </w:r>
    </w:p>
    <w:p w14:paraId="5ECD10AE" w14:textId="77777777" w:rsidR="007E73A4" w:rsidRPr="007142F1" w:rsidRDefault="007E73A4" w:rsidP="007E73A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7C05C690" w14:textId="77777777" w:rsidR="007E73A4" w:rsidRPr="007142F1" w:rsidRDefault="007E73A4" w:rsidP="007E73A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  <w:r w:rsidRPr="007142F1">
        <w:rPr>
          <w:rFonts w:ascii="Arial Narrow" w:hAnsi="Arial Narrow"/>
          <w:sz w:val="20"/>
          <w:szCs w:val="20"/>
        </w:rPr>
        <w:t xml:space="preserve">Norma que estabelece regras em relação a serviço público em flagrante confronto com o disposto no artigo 61, § 1º, inciso II, b, da Constituição da República. Competência privativa do Chefe do Poder Executivo. Precedentes do Supremo Tribunal Federal e deste Órgão Especial embasam a declaração da inconstitucionalidade da Lei nº 3.457/2019 do Município de Resende </w:t>
      </w:r>
      <w:r w:rsidRPr="007142F1">
        <w:rPr>
          <w:rFonts w:ascii="Arial Narrow" w:hAnsi="Arial Narrow"/>
          <w:sz w:val="20"/>
          <w:szCs w:val="20"/>
        </w:rPr>
        <w:lastRenderedPageBreak/>
        <w:t>por vício de iniciativa. ACOLHIMENTO DO INCIDENTE. (TJ-RJ - INCIDENTE DE ARGUICAO DE INCONSTITUCIONALIDADE: 00017624720198190045, Publicação: 21/04/2021)</w:t>
      </w:r>
    </w:p>
    <w:p w14:paraId="049F7CF9" w14:textId="77777777" w:rsidR="007E73A4" w:rsidRPr="007142F1" w:rsidRDefault="007E73A4" w:rsidP="007E73A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6B6E6763" w14:textId="26A61376" w:rsidR="009F3AB7" w:rsidRPr="00F32BAA" w:rsidRDefault="007E73A4" w:rsidP="00F32BAA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  <w:r w:rsidRPr="007142F1">
        <w:rPr>
          <w:rFonts w:ascii="Arial Narrow" w:hAnsi="Arial Narrow"/>
          <w:sz w:val="20"/>
          <w:szCs w:val="20"/>
        </w:rPr>
        <w:t>AÇÃO DIRETA DE INCONSTITUCIONALIDADE. Pretensão em face da Lei nº 6.399, de 26 de junho de 2020, do Município de Limeira, que «dispõe sobre o direito de o usuário do sistema público de abastecimento de água e coleta de esgoto no município de Limeira a abastecer ou fornecer gratuitamente água para terceiros, em caso de necessidade». Alegação de vício de iniciativa, por ser matéria afeta à proposição legislativa do Chefe do Executivo. Lei de autoria de parlamentar. Matéria influencia no regime de concessão de serviço público de fornecimento de água e esgoto. Competência exclusiva do Chefe do Executivo Municipal. Indevida interferência em área reservada à Administração e consequente violação ao princípio da separação dos poderes. Vulneração aos artigos 5º, 47, XVIII, da Constituição Estadual. Possibilidade concedida ao usuário do sistema de abastecer ou fornecer gratuitamente água a terceiros, em caso de necessidade. Autorização ampla e genérica de transferência de água encanada entre imóveis de particulares. Capacidade de prejudicar a regulação da tarifa e do desenvolvimento da rede de atendimento. Prejuízo ao equilíbrio econômico-financeiro do contrato de prestação de serviço público. Vulneração ao artigo 117 da Constituição Estadual. Ação procedente. (TJ-SP - ADI: 21942457920208260000 SP 2194245-79.2020.8.26.0000, Relator: James Siano, Data de Julgamento: 14/04/2021, Órgão Especial, Data de Publicação: 15/04/2021.</w:t>
      </w:r>
    </w:p>
    <w:p w14:paraId="4A56A4FF" w14:textId="002C60AC" w:rsidR="00A9325C" w:rsidRPr="003F7B6F" w:rsidRDefault="00A9325C" w:rsidP="00DD21E3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Calibri"/>
          <w:b/>
          <w:bCs/>
          <w:color w:val="333333"/>
          <w:u w:val="single"/>
          <w:shd w:val="clear" w:color="auto" w:fill="FFFFFF"/>
        </w:rPr>
      </w:pPr>
      <w:r w:rsidRPr="003F7B6F">
        <w:rPr>
          <w:rFonts w:ascii="Arial Narrow" w:hAnsi="Arial Narrow" w:cs="Calibri"/>
          <w:b/>
          <w:bCs/>
          <w:color w:val="333333"/>
          <w:u w:val="single"/>
          <w:shd w:val="clear" w:color="auto" w:fill="FFFFFF"/>
        </w:rPr>
        <w:t>CONCLUSÃO</w:t>
      </w:r>
    </w:p>
    <w:p w14:paraId="474FA997" w14:textId="77777777" w:rsidR="00A9325C" w:rsidRPr="007142F1" w:rsidRDefault="00A9325C" w:rsidP="00A9325C">
      <w:pPr>
        <w:spacing w:line="276" w:lineRule="auto"/>
        <w:jc w:val="both"/>
        <w:rPr>
          <w:rFonts w:ascii="Arial Narrow" w:hAnsi="Arial Narrow" w:cs="Calibri"/>
          <w:b/>
          <w:bCs/>
          <w:color w:val="333333"/>
          <w:shd w:val="clear" w:color="auto" w:fill="FFFFFF"/>
        </w:rPr>
      </w:pPr>
    </w:p>
    <w:p w14:paraId="24FE89C1" w14:textId="75D11470" w:rsidR="001B3C3C" w:rsidRDefault="00A9325C" w:rsidP="003F7B6F">
      <w:pPr>
        <w:spacing w:line="276" w:lineRule="auto"/>
        <w:ind w:firstLine="708"/>
        <w:jc w:val="both"/>
        <w:rPr>
          <w:rFonts w:ascii="Arial Narrow" w:hAnsi="Arial Narrow" w:cs="Calibri"/>
          <w:color w:val="333333"/>
          <w:shd w:val="clear" w:color="auto" w:fill="FFFFFF"/>
        </w:rPr>
      </w:pPr>
      <w:r w:rsidRPr="007142F1">
        <w:rPr>
          <w:rFonts w:ascii="Arial Narrow" w:hAnsi="Arial Narrow" w:cs="Calibri"/>
          <w:color w:val="333333"/>
          <w:shd w:val="clear" w:color="auto" w:fill="FFFFFF"/>
        </w:rPr>
        <w:t xml:space="preserve">Por todo exposto, a Procuradoria Geral do Legislativo conjuntamente conclui objetivamente sobre o </w:t>
      </w:r>
      <w:r w:rsidR="001F7599">
        <w:rPr>
          <w:rFonts w:ascii="Arial Narrow" w:hAnsi="Arial Narrow" w:cs="Calibri"/>
          <w:color w:val="333333"/>
          <w:shd w:val="clear" w:color="auto" w:fill="FFFFFF"/>
        </w:rPr>
        <w:t>P</w:t>
      </w:r>
      <w:r w:rsidRPr="007142F1">
        <w:rPr>
          <w:rFonts w:ascii="Arial Narrow" w:hAnsi="Arial Narrow" w:cs="Calibri"/>
          <w:color w:val="333333"/>
          <w:shd w:val="clear" w:color="auto" w:fill="FFFFFF"/>
        </w:rPr>
        <w:t xml:space="preserve">rojeto de </w:t>
      </w:r>
      <w:r w:rsidR="001F7599">
        <w:rPr>
          <w:rFonts w:ascii="Arial Narrow" w:hAnsi="Arial Narrow" w:cs="Calibri"/>
          <w:color w:val="333333"/>
          <w:shd w:val="clear" w:color="auto" w:fill="FFFFFF"/>
        </w:rPr>
        <w:t>L</w:t>
      </w:r>
      <w:r w:rsidRPr="007142F1">
        <w:rPr>
          <w:rFonts w:ascii="Arial Narrow" w:hAnsi="Arial Narrow" w:cs="Calibri"/>
          <w:color w:val="333333"/>
          <w:shd w:val="clear" w:color="auto" w:fill="FFFFFF"/>
        </w:rPr>
        <w:t xml:space="preserve">ei em análise pela </w:t>
      </w:r>
      <w:r w:rsidR="00C840F1">
        <w:rPr>
          <w:rFonts w:ascii="Arial Narrow" w:hAnsi="Arial Narrow" w:cs="Calibri"/>
          <w:color w:val="333333"/>
          <w:shd w:val="clear" w:color="auto" w:fill="FFFFFF"/>
        </w:rPr>
        <w:t>IN</w:t>
      </w:r>
      <w:r w:rsidRPr="007142F1">
        <w:rPr>
          <w:rFonts w:ascii="Arial Narrow" w:hAnsi="Arial Narrow" w:cs="Calibri"/>
          <w:color w:val="333333"/>
          <w:shd w:val="clear" w:color="auto" w:fill="FFFFFF"/>
        </w:rPr>
        <w:t xml:space="preserve">CONSTITUCIONALIDADE, </w:t>
      </w:r>
      <w:r w:rsidR="00C840F1">
        <w:rPr>
          <w:rFonts w:ascii="Arial Narrow" w:hAnsi="Arial Narrow" w:cs="Calibri"/>
          <w:color w:val="333333"/>
          <w:shd w:val="clear" w:color="auto" w:fill="FFFFFF"/>
        </w:rPr>
        <w:t>I</w:t>
      </w:r>
      <w:r w:rsidRPr="007142F1">
        <w:rPr>
          <w:rFonts w:ascii="Arial Narrow" w:hAnsi="Arial Narrow" w:cs="Calibri"/>
          <w:color w:val="333333"/>
          <w:shd w:val="clear" w:color="auto" w:fill="FFFFFF"/>
        </w:rPr>
        <w:t>LEGALIDADE</w:t>
      </w:r>
      <w:r w:rsidR="00F32BAA">
        <w:rPr>
          <w:rFonts w:ascii="Arial Narrow" w:hAnsi="Arial Narrow" w:cs="Calibri"/>
          <w:color w:val="333333"/>
          <w:shd w:val="clear" w:color="auto" w:fill="FFFFFF"/>
        </w:rPr>
        <w:t xml:space="preserve"> E </w:t>
      </w:r>
      <w:r w:rsidR="00C840F1">
        <w:rPr>
          <w:rFonts w:ascii="Arial Narrow" w:hAnsi="Arial Narrow" w:cs="Calibri"/>
          <w:color w:val="333333"/>
          <w:shd w:val="clear" w:color="auto" w:fill="FFFFFF"/>
        </w:rPr>
        <w:t>AN</w:t>
      </w:r>
      <w:r w:rsidR="00C30250">
        <w:rPr>
          <w:rFonts w:ascii="Arial Narrow" w:hAnsi="Arial Narrow" w:cs="Calibri"/>
          <w:color w:val="333333"/>
          <w:shd w:val="clear" w:color="auto" w:fill="FFFFFF"/>
        </w:rPr>
        <w:t>JU</w:t>
      </w:r>
      <w:r w:rsidRPr="007142F1">
        <w:rPr>
          <w:rFonts w:ascii="Arial Narrow" w:hAnsi="Arial Narrow" w:cs="Calibri"/>
          <w:color w:val="333333"/>
          <w:shd w:val="clear" w:color="auto" w:fill="FFFFFF"/>
        </w:rPr>
        <w:t xml:space="preserve">RIDICIDADE. </w:t>
      </w:r>
    </w:p>
    <w:p w14:paraId="4F2C465D" w14:textId="77777777" w:rsidR="003F7B6F" w:rsidRPr="003F7B6F" w:rsidRDefault="003F7B6F" w:rsidP="003F7B6F">
      <w:pPr>
        <w:spacing w:line="276" w:lineRule="auto"/>
        <w:ind w:firstLine="708"/>
        <w:jc w:val="both"/>
        <w:rPr>
          <w:rFonts w:ascii="Arial Narrow" w:hAnsi="Arial Narrow" w:cs="Calibri"/>
          <w:color w:val="333333"/>
          <w:shd w:val="clear" w:color="auto" w:fill="FFFFFF"/>
        </w:rPr>
      </w:pPr>
    </w:p>
    <w:p w14:paraId="12EC86A7" w14:textId="1DD4B642" w:rsidR="00695FB1" w:rsidRDefault="0006418D" w:rsidP="003F7B6F">
      <w:pPr>
        <w:tabs>
          <w:tab w:val="left" w:pos="1455"/>
        </w:tabs>
        <w:spacing w:line="360" w:lineRule="auto"/>
        <w:jc w:val="both"/>
        <w:rPr>
          <w:rFonts w:ascii="Arial Narrow" w:hAnsi="Arial Narrow" w:cs="Arial"/>
          <w:lang w:eastAsia="ar-SA"/>
        </w:rPr>
      </w:pPr>
      <w:r w:rsidRPr="001813EE">
        <w:rPr>
          <w:rFonts w:ascii="Arial Narrow" w:hAnsi="Arial Narrow" w:cs="Arial"/>
          <w:lang w:eastAsia="ar-SA"/>
        </w:rPr>
        <w:t xml:space="preserve">Sete Lagoas (MG), </w:t>
      </w:r>
      <w:r w:rsidR="003F7B6F">
        <w:rPr>
          <w:rFonts w:ascii="Arial Narrow" w:hAnsi="Arial Narrow" w:cs="Arial"/>
          <w:lang w:eastAsia="ar-SA"/>
        </w:rPr>
        <w:t>0</w:t>
      </w:r>
      <w:r w:rsidR="00F32BAA">
        <w:rPr>
          <w:rFonts w:ascii="Arial Narrow" w:hAnsi="Arial Narrow" w:cs="Arial"/>
          <w:lang w:eastAsia="ar-SA"/>
        </w:rPr>
        <w:t>4</w:t>
      </w:r>
      <w:r>
        <w:rPr>
          <w:rFonts w:ascii="Arial Narrow" w:hAnsi="Arial Narrow" w:cs="Arial"/>
          <w:lang w:eastAsia="ar-SA"/>
        </w:rPr>
        <w:t xml:space="preserve"> de </w:t>
      </w:r>
      <w:r w:rsidR="00F32BAA">
        <w:rPr>
          <w:rFonts w:ascii="Arial Narrow" w:hAnsi="Arial Narrow" w:cs="Arial"/>
          <w:lang w:eastAsia="ar-SA"/>
        </w:rPr>
        <w:t>j</w:t>
      </w:r>
      <w:r w:rsidR="00C840F1">
        <w:rPr>
          <w:rFonts w:ascii="Arial Narrow" w:hAnsi="Arial Narrow" w:cs="Arial"/>
          <w:lang w:eastAsia="ar-SA"/>
        </w:rPr>
        <w:t>u</w:t>
      </w:r>
      <w:r w:rsidR="003F7B6F">
        <w:rPr>
          <w:rFonts w:ascii="Arial Narrow" w:hAnsi="Arial Narrow" w:cs="Arial"/>
          <w:lang w:eastAsia="ar-SA"/>
        </w:rPr>
        <w:t>lh</w:t>
      </w:r>
      <w:r w:rsidR="00C840F1">
        <w:rPr>
          <w:rFonts w:ascii="Arial Narrow" w:hAnsi="Arial Narrow" w:cs="Arial"/>
          <w:lang w:eastAsia="ar-SA"/>
        </w:rPr>
        <w:t>o</w:t>
      </w:r>
      <w:r>
        <w:rPr>
          <w:rFonts w:ascii="Arial Narrow" w:hAnsi="Arial Narrow" w:cs="Arial"/>
          <w:lang w:eastAsia="ar-SA"/>
        </w:rPr>
        <w:t xml:space="preserve"> de 2025</w:t>
      </w:r>
      <w:r w:rsidRPr="001813EE">
        <w:rPr>
          <w:rFonts w:ascii="Arial Narrow" w:hAnsi="Arial Narrow" w:cs="Arial"/>
          <w:lang w:eastAsia="ar-SA"/>
        </w:rPr>
        <w:t>.</w:t>
      </w:r>
    </w:p>
    <w:p w14:paraId="0460BFCC" w14:textId="77777777" w:rsidR="00F32BAA" w:rsidRDefault="00F32BAA" w:rsidP="003F7B6F">
      <w:pPr>
        <w:tabs>
          <w:tab w:val="left" w:pos="1455"/>
        </w:tabs>
        <w:spacing w:line="360" w:lineRule="auto"/>
        <w:jc w:val="both"/>
        <w:rPr>
          <w:rFonts w:ascii="Arial Narrow" w:hAnsi="Arial Narrow" w:cs="Arial"/>
          <w:lang w:eastAsia="ar-SA"/>
        </w:rPr>
      </w:pPr>
    </w:p>
    <w:p w14:paraId="6799D959" w14:textId="77777777" w:rsidR="003C295B" w:rsidRDefault="003C295B" w:rsidP="00695FB1">
      <w:pPr>
        <w:pStyle w:val="SemEspaamento"/>
        <w:rPr>
          <w:rFonts w:ascii="Arial Narrow" w:hAnsi="Arial Narrow" w:cs="Arial"/>
          <w:lang w:eastAsia="ar-SA"/>
        </w:rPr>
      </w:pPr>
    </w:p>
    <w:p w14:paraId="2CCDE29A" w14:textId="472256B9" w:rsidR="003C295B" w:rsidRPr="003F7B6F" w:rsidRDefault="003C295B" w:rsidP="003F7B6F">
      <w:pPr>
        <w:pStyle w:val="SemEspaamento"/>
        <w:jc w:val="center"/>
        <w:rPr>
          <w:rFonts w:ascii="Arial Narrow" w:hAnsi="Arial Narrow" w:cs="Arial"/>
          <w:b/>
          <w:bCs/>
          <w:sz w:val="24"/>
          <w:szCs w:val="24"/>
          <w:lang w:eastAsia="ar-SA"/>
        </w:rPr>
      </w:pPr>
      <w:r w:rsidRPr="003F7B6F">
        <w:rPr>
          <w:rFonts w:ascii="Arial Narrow" w:hAnsi="Arial Narrow" w:cs="Arial"/>
          <w:b/>
          <w:bCs/>
          <w:sz w:val="24"/>
          <w:szCs w:val="24"/>
          <w:lang w:eastAsia="ar-SA"/>
        </w:rPr>
        <w:t>D</w:t>
      </w:r>
      <w:r w:rsidR="001461DE" w:rsidRPr="003F7B6F">
        <w:rPr>
          <w:rFonts w:ascii="Arial Narrow" w:hAnsi="Arial Narrow" w:cs="Arial"/>
          <w:b/>
          <w:bCs/>
          <w:sz w:val="24"/>
          <w:szCs w:val="24"/>
          <w:lang w:eastAsia="ar-SA"/>
        </w:rPr>
        <w:t>r. WILLIAN GOMES DA SILVA</w:t>
      </w:r>
    </w:p>
    <w:p w14:paraId="5A11E20D" w14:textId="1F31D44A" w:rsidR="001461DE" w:rsidRPr="003F7B6F" w:rsidRDefault="001461DE" w:rsidP="003F7B6F">
      <w:pPr>
        <w:pStyle w:val="SemEspaamento"/>
        <w:jc w:val="center"/>
        <w:rPr>
          <w:rFonts w:ascii="Arial Narrow" w:hAnsi="Arial Narrow" w:cs="Arial"/>
          <w:sz w:val="24"/>
          <w:szCs w:val="24"/>
          <w:lang w:eastAsia="ar-SA"/>
        </w:rPr>
      </w:pPr>
      <w:r w:rsidRPr="003F7B6F">
        <w:rPr>
          <w:rFonts w:ascii="Arial Narrow" w:hAnsi="Arial Narrow" w:cs="Arial"/>
          <w:sz w:val="24"/>
          <w:szCs w:val="24"/>
          <w:lang w:eastAsia="ar-SA"/>
        </w:rPr>
        <w:t>S</w:t>
      </w:r>
      <w:r w:rsidR="00AE65B3" w:rsidRPr="003F7B6F">
        <w:rPr>
          <w:rFonts w:ascii="Arial Narrow" w:hAnsi="Arial Narrow" w:cs="Arial"/>
          <w:sz w:val="24"/>
          <w:szCs w:val="24"/>
          <w:lang w:eastAsia="ar-SA"/>
        </w:rPr>
        <w:t>ubprocurador-Geral do Legislativo</w:t>
      </w:r>
    </w:p>
    <w:p w14:paraId="71BADA26" w14:textId="3F32B176" w:rsidR="00E004B7" w:rsidRPr="003F7B6F" w:rsidRDefault="00AE65B3" w:rsidP="003F7B6F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3F7B6F">
        <w:rPr>
          <w:rFonts w:ascii="Arial Narrow" w:hAnsi="Arial Narrow" w:cs="Arial"/>
          <w:sz w:val="24"/>
          <w:szCs w:val="24"/>
          <w:lang w:eastAsia="ar-SA"/>
        </w:rPr>
        <w:t>OAB/MG</w:t>
      </w:r>
      <w:r w:rsidR="00693E76" w:rsidRPr="003F7B6F">
        <w:rPr>
          <w:rFonts w:ascii="Arial Narrow" w:hAnsi="Arial Narrow" w:cs="Arial"/>
          <w:sz w:val="24"/>
          <w:szCs w:val="24"/>
          <w:lang w:eastAsia="ar-SA"/>
        </w:rPr>
        <w:t xml:space="preserve"> 149.037</w:t>
      </w:r>
      <w:bookmarkEnd w:id="0"/>
    </w:p>
    <w:sectPr w:rsidR="00E004B7" w:rsidRPr="003F7B6F" w:rsidSect="009727EE">
      <w:headerReference w:type="default" r:id="rId8"/>
      <w:pgSz w:w="11906" w:h="16838" w:code="9"/>
      <w:pgMar w:top="2269" w:right="1327" w:bottom="2127" w:left="1440" w:header="1417" w:footer="15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8088" w14:textId="77777777" w:rsidR="00701EE0" w:rsidRDefault="00701EE0">
      <w:r>
        <w:separator/>
      </w:r>
    </w:p>
  </w:endnote>
  <w:endnote w:type="continuationSeparator" w:id="0">
    <w:p w14:paraId="07BF6127" w14:textId="77777777" w:rsidR="00701EE0" w:rsidRDefault="0070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D3BEF" w14:textId="77777777" w:rsidR="00701EE0" w:rsidRDefault="00701EE0">
      <w:r>
        <w:separator/>
      </w:r>
    </w:p>
  </w:footnote>
  <w:footnote w:type="continuationSeparator" w:id="0">
    <w:p w14:paraId="4C4B3C1B" w14:textId="77777777" w:rsidR="00701EE0" w:rsidRDefault="0070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BAE5" w14:textId="3D926875" w:rsidR="00695FB1" w:rsidRPr="00864603" w:rsidRDefault="004317E6" w:rsidP="00D356CF">
    <w:pPr>
      <w:tabs>
        <w:tab w:val="center" w:pos="4252"/>
        <w:tab w:val="right" w:pos="8504"/>
      </w:tabs>
    </w:pPr>
    <w:r w:rsidRPr="006B3094">
      <w:rPr>
        <w:rFonts w:ascii="Times" w:eastAsia="DejaVu Sans" w:hAnsi="Times"/>
        <w:noProof/>
        <w:kern w:val="1"/>
        <w:lang w:eastAsia="en-US"/>
      </w:rPr>
      <w:drawing>
        <wp:anchor distT="0" distB="0" distL="114300" distR="114300" simplePos="0" relativeHeight="251659264" behindDoc="1" locked="0" layoutInCell="1" allowOverlap="1" wp14:anchorId="53DE632B" wp14:editId="441CBC88">
          <wp:simplePos x="0" y="0"/>
          <wp:positionH relativeFrom="page">
            <wp:align>right</wp:align>
          </wp:positionH>
          <wp:positionV relativeFrom="paragraph">
            <wp:posOffset>-895350</wp:posOffset>
          </wp:positionV>
          <wp:extent cx="7552690" cy="11991975"/>
          <wp:effectExtent l="0" t="0" r="0" b="9525"/>
          <wp:wrapNone/>
          <wp:docPr id="1897196331" name="Imagem 1897196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199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D21AA"/>
    <w:multiLevelType w:val="hybridMultilevel"/>
    <w:tmpl w:val="093EC9AE"/>
    <w:lvl w:ilvl="0" w:tplc="2514F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B1F12"/>
    <w:multiLevelType w:val="multilevel"/>
    <w:tmpl w:val="4080DBB6"/>
    <w:lvl w:ilvl="0">
      <w:start w:val="2"/>
      <w:numFmt w:val="decimal"/>
      <w:lvlText w:val="%1"/>
      <w:lvlJc w:val="left"/>
      <w:pPr>
        <w:ind w:left="1926" w:hanging="5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6" w:hanging="544"/>
      </w:pPr>
      <w:rPr>
        <w:rFonts w:hint="default"/>
        <w:spacing w:val="-4"/>
        <w:w w:val="99"/>
        <w:lang w:val="pt-PT" w:eastAsia="en-US" w:bidi="ar-SA"/>
      </w:rPr>
    </w:lvl>
    <w:lvl w:ilvl="2">
      <w:start w:val="4"/>
      <w:numFmt w:val="upperRoman"/>
      <w:lvlText w:val="%3"/>
      <w:lvlJc w:val="left"/>
      <w:pPr>
        <w:ind w:left="3264" w:hanging="496"/>
      </w:pPr>
      <w:rPr>
        <w:rFonts w:hint="default"/>
        <w:spacing w:val="-2"/>
        <w:w w:val="10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3579" w:hanging="316"/>
      </w:pPr>
      <w:rPr>
        <w:rFonts w:ascii="Trebuchet MS" w:eastAsia="Trebuchet MS" w:hAnsi="Trebuchet MS" w:cs="Trebuchet MS" w:hint="default"/>
        <w:b w:val="0"/>
        <w:bCs w:val="0"/>
        <w:i/>
        <w:iCs/>
        <w:color w:val="000009"/>
        <w:spacing w:val="-2"/>
        <w:w w:val="102"/>
        <w:sz w:val="25"/>
        <w:szCs w:val="25"/>
        <w:lang w:val="pt-PT" w:eastAsia="en-US" w:bidi="ar-SA"/>
      </w:rPr>
    </w:lvl>
    <w:lvl w:ilvl="4">
      <w:numFmt w:val="bullet"/>
      <w:lvlText w:val="•"/>
      <w:lvlJc w:val="left"/>
      <w:pPr>
        <w:ind w:left="4951" w:hanging="3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7" w:hanging="3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3" w:hanging="3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9" w:hanging="3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5" w:hanging="316"/>
      </w:pPr>
      <w:rPr>
        <w:rFonts w:hint="default"/>
        <w:lang w:val="pt-PT" w:eastAsia="en-US" w:bidi="ar-SA"/>
      </w:rPr>
    </w:lvl>
  </w:abstractNum>
  <w:abstractNum w:abstractNumId="2" w15:restartNumberingAfterBreak="0">
    <w:nsid w:val="605616F2"/>
    <w:multiLevelType w:val="hybridMultilevel"/>
    <w:tmpl w:val="CA105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31"/>
    <w:rsid w:val="0000329F"/>
    <w:rsid w:val="00007861"/>
    <w:rsid w:val="00012D6B"/>
    <w:rsid w:val="000167DF"/>
    <w:rsid w:val="00044D93"/>
    <w:rsid w:val="0006237A"/>
    <w:rsid w:val="0006418D"/>
    <w:rsid w:val="00064D1A"/>
    <w:rsid w:val="000705DB"/>
    <w:rsid w:val="00085184"/>
    <w:rsid w:val="00087DC9"/>
    <w:rsid w:val="000A0506"/>
    <w:rsid w:val="000A2954"/>
    <w:rsid w:val="000B5EB1"/>
    <w:rsid w:val="000D550D"/>
    <w:rsid w:val="000D68BB"/>
    <w:rsid w:val="000E7405"/>
    <w:rsid w:val="000F754F"/>
    <w:rsid w:val="00104C6B"/>
    <w:rsid w:val="00107AE6"/>
    <w:rsid w:val="00107F4A"/>
    <w:rsid w:val="0011572D"/>
    <w:rsid w:val="00122017"/>
    <w:rsid w:val="00132030"/>
    <w:rsid w:val="001461DE"/>
    <w:rsid w:val="00153252"/>
    <w:rsid w:val="00161FE1"/>
    <w:rsid w:val="001662C9"/>
    <w:rsid w:val="001672C3"/>
    <w:rsid w:val="00174B61"/>
    <w:rsid w:val="00176475"/>
    <w:rsid w:val="00196CE0"/>
    <w:rsid w:val="001B3C3C"/>
    <w:rsid w:val="001B49A4"/>
    <w:rsid w:val="001E01B2"/>
    <w:rsid w:val="001E0203"/>
    <w:rsid w:val="001E2433"/>
    <w:rsid w:val="001F7599"/>
    <w:rsid w:val="00204BBF"/>
    <w:rsid w:val="00205B1C"/>
    <w:rsid w:val="00206331"/>
    <w:rsid w:val="00230928"/>
    <w:rsid w:val="0023737E"/>
    <w:rsid w:val="0024102A"/>
    <w:rsid w:val="0024459B"/>
    <w:rsid w:val="00250584"/>
    <w:rsid w:val="00260FFB"/>
    <w:rsid w:val="00262BC9"/>
    <w:rsid w:val="002766BF"/>
    <w:rsid w:val="00296A66"/>
    <w:rsid w:val="0029736E"/>
    <w:rsid w:val="002A07C1"/>
    <w:rsid w:val="002A2945"/>
    <w:rsid w:val="002A4C44"/>
    <w:rsid w:val="002C29AE"/>
    <w:rsid w:val="002E4AC6"/>
    <w:rsid w:val="002F643D"/>
    <w:rsid w:val="00304A29"/>
    <w:rsid w:val="003135EB"/>
    <w:rsid w:val="00324E53"/>
    <w:rsid w:val="003257FC"/>
    <w:rsid w:val="00325E3E"/>
    <w:rsid w:val="00326F35"/>
    <w:rsid w:val="00343E60"/>
    <w:rsid w:val="00362759"/>
    <w:rsid w:val="00392BF4"/>
    <w:rsid w:val="00395B34"/>
    <w:rsid w:val="0039655B"/>
    <w:rsid w:val="003A1A96"/>
    <w:rsid w:val="003A272B"/>
    <w:rsid w:val="003B2D83"/>
    <w:rsid w:val="003B6352"/>
    <w:rsid w:val="003B6763"/>
    <w:rsid w:val="003C295B"/>
    <w:rsid w:val="003D10D1"/>
    <w:rsid w:val="003F10F9"/>
    <w:rsid w:val="003F7B6F"/>
    <w:rsid w:val="004013AE"/>
    <w:rsid w:val="00411662"/>
    <w:rsid w:val="0042486B"/>
    <w:rsid w:val="004317E6"/>
    <w:rsid w:val="004420E6"/>
    <w:rsid w:val="00464F31"/>
    <w:rsid w:val="00476122"/>
    <w:rsid w:val="00477E38"/>
    <w:rsid w:val="004812C5"/>
    <w:rsid w:val="004A64D6"/>
    <w:rsid w:val="004B156F"/>
    <w:rsid w:val="004C675C"/>
    <w:rsid w:val="004E1A0A"/>
    <w:rsid w:val="004E2BDE"/>
    <w:rsid w:val="004E3BE4"/>
    <w:rsid w:val="004E66D7"/>
    <w:rsid w:val="004E750A"/>
    <w:rsid w:val="004E7689"/>
    <w:rsid w:val="00533C1B"/>
    <w:rsid w:val="00544EB6"/>
    <w:rsid w:val="005502C8"/>
    <w:rsid w:val="005510E0"/>
    <w:rsid w:val="005655BE"/>
    <w:rsid w:val="00571191"/>
    <w:rsid w:val="00574425"/>
    <w:rsid w:val="00580591"/>
    <w:rsid w:val="005863F3"/>
    <w:rsid w:val="00587746"/>
    <w:rsid w:val="00590BB9"/>
    <w:rsid w:val="0059265E"/>
    <w:rsid w:val="005959F2"/>
    <w:rsid w:val="005A2C09"/>
    <w:rsid w:val="005B27E4"/>
    <w:rsid w:val="005B37B3"/>
    <w:rsid w:val="005B756E"/>
    <w:rsid w:val="005C00E5"/>
    <w:rsid w:val="005C76BC"/>
    <w:rsid w:val="005C79F5"/>
    <w:rsid w:val="005F0485"/>
    <w:rsid w:val="005F4E6E"/>
    <w:rsid w:val="00611798"/>
    <w:rsid w:val="006155DA"/>
    <w:rsid w:val="00645E17"/>
    <w:rsid w:val="006473AB"/>
    <w:rsid w:val="00652D25"/>
    <w:rsid w:val="00653687"/>
    <w:rsid w:val="006539F3"/>
    <w:rsid w:val="00661C46"/>
    <w:rsid w:val="00664085"/>
    <w:rsid w:val="00667C3D"/>
    <w:rsid w:val="006773B8"/>
    <w:rsid w:val="00693E76"/>
    <w:rsid w:val="00694BD0"/>
    <w:rsid w:val="00694CA1"/>
    <w:rsid w:val="0069536E"/>
    <w:rsid w:val="00695FB1"/>
    <w:rsid w:val="006975A4"/>
    <w:rsid w:val="006A74B6"/>
    <w:rsid w:val="006B0A4F"/>
    <w:rsid w:val="006B382B"/>
    <w:rsid w:val="006C73DC"/>
    <w:rsid w:val="006C7756"/>
    <w:rsid w:val="006E1200"/>
    <w:rsid w:val="006E163D"/>
    <w:rsid w:val="00701EE0"/>
    <w:rsid w:val="00710C95"/>
    <w:rsid w:val="007145B2"/>
    <w:rsid w:val="00716313"/>
    <w:rsid w:val="0072017E"/>
    <w:rsid w:val="00722D38"/>
    <w:rsid w:val="00723C6D"/>
    <w:rsid w:val="00747858"/>
    <w:rsid w:val="00765318"/>
    <w:rsid w:val="00776947"/>
    <w:rsid w:val="007815EF"/>
    <w:rsid w:val="00783ED3"/>
    <w:rsid w:val="00787A53"/>
    <w:rsid w:val="007946F9"/>
    <w:rsid w:val="007A536F"/>
    <w:rsid w:val="007B1354"/>
    <w:rsid w:val="007B1A18"/>
    <w:rsid w:val="007C028D"/>
    <w:rsid w:val="007C61D1"/>
    <w:rsid w:val="007D7C6A"/>
    <w:rsid w:val="007E13A2"/>
    <w:rsid w:val="007E60F8"/>
    <w:rsid w:val="007E73A4"/>
    <w:rsid w:val="007F1615"/>
    <w:rsid w:val="007F3C31"/>
    <w:rsid w:val="007F7C9B"/>
    <w:rsid w:val="00803D60"/>
    <w:rsid w:val="008059DE"/>
    <w:rsid w:val="00837051"/>
    <w:rsid w:val="008436DD"/>
    <w:rsid w:val="008516C8"/>
    <w:rsid w:val="00864603"/>
    <w:rsid w:val="008724F7"/>
    <w:rsid w:val="00876F6A"/>
    <w:rsid w:val="008A09EB"/>
    <w:rsid w:val="008A34F8"/>
    <w:rsid w:val="008A558C"/>
    <w:rsid w:val="008B1BA2"/>
    <w:rsid w:val="008B62D2"/>
    <w:rsid w:val="008D1CC0"/>
    <w:rsid w:val="008D62E5"/>
    <w:rsid w:val="008E2DFF"/>
    <w:rsid w:val="008E4CA7"/>
    <w:rsid w:val="00933C42"/>
    <w:rsid w:val="009374C7"/>
    <w:rsid w:val="00965446"/>
    <w:rsid w:val="009727EE"/>
    <w:rsid w:val="00972B09"/>
    <w:rsid w:val="00973A34"/>
    <w:rsid w:val="00981A37"/>
    <w:rsid w:val="009A2743"/>
    <w:rsid w:val="009A298B"/>
    <w:rsid w:val="009B4176"/>
    <w:rsid w:val="009C2F57"/>
    <w:rsid w:val="009C4D31"/>
    <w:rsid w:val="009C5245"/>
    <w:rsid w:val="009C5DD3"/>
    <w:rsid w:val="009C628A"/>
    <w:rsid w:val="009C6CBE"/>
    <w:rsid w:val="009E4016"/>
    <w:rsid w:val="009E67A4"/>
    <w:rsid w:val="009F3AB7"/>
    <w:rsid w:val="009F7793"/>
    <w:rsid w:val="00A02BB9"/>
    <w:rsid w:val="00A10DFC"/>
    <w:rsid w:val="00A154B7"/>
    <w:rsid w:val="00A15626"/>
    <w:rsid w:val="00A164EF"/>
    <w:rsid w:val="00A432A8"/>
    <w:rsid w:val="00A5698E"/>
    <w:rsid w:val="00A711B3"/>
    <w:rsid w:val="00A76CEC"/>
    <w:rsid w:val="00A81A2C"/>
    <w:rsid w:val="00A85807"/>
    <w:rsid w:val="00A9325C"/>
    <w:rsid w:val="00AC5739"/>
    <w:rsid w:val="00AD0A43"/>
    <w:rsid w:val="00AE2884"/>
    <w:rsid w:val="00AE4185"/>
    <w:rsid w:val="00AE4BF2"/>
    <w:rsid w:val="00AE65B3"/>
    <w:rsid w:val="00AF3434"/>
    <w:rsid w:val="00B1018C"/>
    <w:rsid w:val="00B150E8"/>
    <w:rsid w:val="00B266CE"/>
    <w:rsid w:val="00B3478C"/>
    <w:rsid w:val="00B55572"/>
    <w:rsid w:val="00B57427"/>
    <w:rsid w:val="00B72FE4"/>
    <w:rsid w:val="00B747E5"/>
    <w:rsid w:val="00B8149F"/>
    <w:rsid w:val="00B827DE"/>
    <w:rsid w:val="00BA01EF"/>
    <w:rsid w:val="00BA1743"/>
    <w:rsid w:val="00BC271F"/>
    <w:rsid w:val="00BC2A0F"/>
    <w:rsid w:val="00BC545E"/>
    <w:rsid w:val="00BC66A8"/>
    <w:rsid w:val="00BD27CA"/>
    <w:rsid w:val="00BD439E"/>
    <w:rsid w:val="00BE0214"/>
    <w:rsid w:val="00BE5DE5"/>
    <w:rsid w:val="00BF1F1A"/>
    <w:rsid w:val="00C0254F"/>
    <w:rsid w:val="00C11444"/>
    <w:rsid w:val="00C13317"/>
    <w:rsid w:val="00C13DBA"/>
    <w:rsid w:val="00C30250"/>
    <w:rsid w:val="00C33B4B"/>
    <w:rsid w:val="00C649DE"/>
    <w:rsid w:val="00C764DD"/>
    <w:rsid w:val="00C77712"/>
    <w:rsid w:val="00C840F1"/>
    <w:rsid w:val="00C84938"/>
    <w:rsid w:val="00CA2CA5"/>
    <w:rsid w:val="00CB1A72"/>
    <w:rsid w:val="00CB40AE"/>
    <w:rsid w:val="00CD01CE"/>
    <w:rsid w:val="00CE1F0E"/>
    <w:rsid w:val="00CF0458"/>
    <w:rsid w:val="00CF50C3"/>
    <w:rsid w:val="00D0408E"/>
    <w:rsid w:val="00D11623"/>
    <w:rsid w:val="00D32F61"/>
    <w:rsid w:val="00D356CF"/>
    <w:rsid w:val="00D403E9"/>
    <w:rsid w:val="00D410ED"/>
    <w:rsid w:val="00D43F34"/>
    <w:rsid w:val="00D51D4A"/>
    <w:rsid w:val="00D6726B"/>
    <w:rsid w:val="00D735BC"/>
    <w:rsid w:val="00D8197C"/>
    <w:rsid w:val="00D96E4F"/>
    <w:rsid w:val="00DB7D9A"/>
    <w:rsid w:val="00DC7B40"/>
    <w:rsid w:val="00DD21E3"/>
    <w:rsid w:val="00DE67BF"/>
    <w:rsid w:val="00DF074D"/>
    <w:rsid w:val="00E004B7"/>
    <w:rsid w:val="00E16C49"/>
    <w:rsid w:val="00E26CF8"/>
    <w:rsid w:val="00E30EEA"/>
    <w:rsid w:val="00E3335D"/>
    <w:rsid w:val="00E34E84"/>
    <w:rsid w:val="00E364A4"/>
    <w:rsid w:val="00E46CC3"/>
    <w:rsid w:val="00E55872"/>
    <w:rsid w:val="00E66DDC"/>
    <w:rsid w:val="00E763FD"/>
    <w:rsid w:val="00E900DE"/>
    <w:rsid w:val="00EC721A"/>
    <w:rsid w:val="00ED3635"/>
    <w:rsid w:val="00ED435B"/>
    <w:rsid w:val="00EE1883"/>
    <w:rsid w:val="00EE2897"/>
    <w:rsid w:val="00EF00DC"/>
    <w:rsid w:val="00EF077F"/>
    <w:rsid w:val="00F01A9A"/>
    <w:rsid w:val="00F1234C"/>
    <w:rsid w:val="00F16520"/>
    <w:rsid w:val="00F21BA0"/>
    <w:rsid w:val="00F27A25"/>
    <w:rsid w:val="00F32BAA"/>
    <w:rsid w:val="00F36819"/>
    <w:rsid w:val="00F4442D"/>
    <w:rsid w:val="00F47DB2"/>
    <w:rsid w:val="00F55D8F"/>
    <w:rsid w:val="00F61F9A"/>
    <w:rsid w:val="00F6410F"/>
    <w:rsid w:val="00F7055A"/>
    <w:rsid w:val="00FB2B96"/>
    <w:rsid w:val="00FB4614"/>
    <w:rsid w:val="00FB71CA"/>
    <w:rsid w:val="00FC0E7C"/>
    <w:rsid w:val="00FD15AA"/>
    <w:rsid w:val="00FD18CB"/>
    <w:rsid w:val="00FD269A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1F318"/>
  <w15:docId w15:val="{B55DCD64-F5EB-4C36-8BF9-9635231E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4F31"/>
    <w:pPr>
      <w:keepNext/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7D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4F3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64F3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64F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464F31"/>
    <w:pPr>
      <w:jc w:val="center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464F31"/>
    <w:pPr>
      <w:ind w:left="1416" w:firstLine="70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64F3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64F31"/>
    <w:pPr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464F31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46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46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10D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10D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01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18C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6418D"/>
    <w:rPr>
      <w:color w:val="0000FF"/>
      <w:u w:val="single"/>
    </w:rPr>
  </w:style>
  <w:style w:type="paragraph" w:styleId="SemEspaamento">
    <w:name w:val="No Spacing"/>
    <w:uiPriority w:val="1"/>
    <w:qFormat/>
    <w:rsid w:val="0006418D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FF2C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017E"/>
  </w:style>
  <w:style w:type="paragraph" w:styleId="Corpodetexto">
    <w:name w:val="Body Text"/>
    <w:basedOn w:val="Normal"/>
    <w:link w:val="CorpodetextoChar"/>
    <w:uiPriority w:val="99"/>
    <w:semiHidden/>
    <w:unhideWhenUsed/>
    <w:rsid w:val="004E76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E76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E7689"/>
    <w:pPr>
      <w:widowControl w:val="0"/>
      <w:autoSpaceDE w:val="0"/>
      <w:autoSpaceDN w:val="0"/>
      <w:ind w:left="1924" w:hanging="542"/>
    </w:pPr>
    <w:rPr>
      <w:rFonts w:ascii="Trebuchet MS" w:eastAsia="Trebuchet MS" w:hAnsi="Trebuchet MS" w:cs="Trebuchet MS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7D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paragraph">
    <w:name w:val="paragraph"/>
    <w:basedOn w:val="Normal"/>
    <w:rsid w:val="004E66D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F3C31"/>
    <w:rPr>
      <w:b/>
      <w:bCs/>
    </w:rPr>
  </w:style>
  <w:style w:type="paragraph" w:customStyle="1" w:styleId="texto1">
    <w:name w:val="texto1"/>
    <w:basedOn w:val="Normal"/>
    <w:rsid w:val="00783ED3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B57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5742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2858-8FBF-43BA-A75C-EC09B352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3588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Willian Gomes da Silva</cp:lastModifiedBy>
  <cp:revision>4</cp:revision>
  <cp:lastPrinted>2025-06-16T14:11:00Z</cp:lastPrinted>
  <dcterms:created xsi:type="dcterms:W3CDTF">2025-07-04T15:02:00Z</dcterms:created>
  <dcterms:modified xsi:type="dcterms:W3CDTF">2025-07-04T16:05:00Z</dcterms:modified>
</cp:coreProperties>
</file>