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22BD4157"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xml:space="preserve">: </w:t>
      </w:r>
      <w:r w:rsidR="00C412D4" w:rsidRPr="00BE2086">
        <w:rPr>
          <w:rFonts w:ascii="Arial Narrow" w:hAnsi="Arial Narrow"/>
          <w:b/>
          <w:bCs/>
        </w:rPr>
        <w:t>PGLWG</w:t>
      </w:r>
      <w:r w:rsidR="00C412D4">
        <w:rPr>
          <w:rFonts w:ascii="Arial Narrow" w:hAnsi="Arial Narrow"/>
          <w:b/>
          <w:bCs/>
        </w:rPr>
        <w:t xml:space="preserve"> </w:t>
      </w:r>
      <w:r w:rsidR="00596388">
        <w:rPr>
          <w:rFonts w:ascii="Arial Narrow" w:hAnsi="Arial Narrow"/>
          <w:b/>
          <w:bCs/>
        </w:rPr>
        <w:t>94</w:t>
      </w:r>
      <w:r w:rsidRPr="005E0151">
        <w:rPr>
          <w:rFonts w:ascii="Arial Narrow" w:hAnsi="Arial Narrow"/>
          <w:b/>
          <w:bCs/>
        </w:rPr>
        <w:t>/2025</w:t>
      </w:r>
    </w:p>
    <w:p w14:paraId="4D365CB3" w14:textId="785359D7" w:rsidR="00FE20FB" w:rsidRDefault="00F3605A" w:rsidP="00A14607">
      <w:pPr>
        <w:rPr>
          <w:rFonts w:ascii="Arial Narrow" w:hAnsi="Arial Narrow"/>
          <w:b/>
          <w:bCs/>
        </w:rPr>
      </w:pPr>
      <w:r w:rsidRPr="005E0151">
        <w:rPr>
          <w:rFonts w:ascii="Arial Narrow" w:hAnsi="Arial Narrow"/>
          <w:b/>
          <w:bCs/>
        </w:rPr>
        <w:t>MATÉRIA:</w:t>
      </w:r>
      <w:r w:rsidR="00C412D4">
        <w:rPr>
          <w:rFonts w:ascii="Arial Narrow" w:hAnsi="Arial Narrow"/>
          <w:b/>
          <w:bCs/>
        </w:rPr>
        <w:t xml:space="preserve"> SUBSTITUTIVO 01 AO</w:t>
      </w:r>
      <w:r w:rsidRPr="005E0151">
        <w:rPr>
          <w:rFonts w:ascii="Arial Narrow" w:hAnsi="Arial Narrow"/>
          <w:b/>
          <w:bCs/>
        </w:rPr>
        <w:t xml:space="preserve"> PROJETO DE LEI ORDINÁRIA Nº </w:t>
      </w:r>
      <w:r w:rsidR="00B67991">
        <w:rPr>
          <w:rFonts w:ascii="Arial Narrow" w:hAnsi="Arial Narrow"/>
          <w:b/>
          <w:bCs/>
        </w:rPr>
        <w:t>3</w:t>
      </w:r>
      <w:r w:rsidR="00C412D4">
        <w:rPr>
          <w:rFonts w:ascii="Arial Narrow" w:hAnsi="Arial Narrow"/>
          <w:b/>
          <w:bCs/>
        </w:rPr>
        <w:t>56</w:t>
      </w:r>
      <w:r w:rsidRPr="005E0151">
        <w:rPr>
          <w:rFonts w:ascii="Arial Narrow" w:hAnsi="Arial Narrow"/>
          <w:b/>
          <w:bCs/>
        </w:rPr>
        <w:t>/202</w:t>
      </w:r>
      <w:r w:rsidR="00954F29">
        <w:rPr>
          <w:rFonts w:ascii="Arial Narrow" w:hAnsi="Arial Narrow"/>
          <w:b/>
          <w:bCs/>
        </w:rPr>
        <w:t>5</w:t>
      </w:r>
    </w:p>
    <w:p w14:paraId="5DA26C3C" w14:textId="77777777" w:rsidR="000D1F6A" w:rsidRPr="000D1F6A" w:rsidRDefault="000D1F6A" w:rsidP="000D1F6A">
      <w:pPr>
        <w:spacing w:after="0" w:line="360" w:lineRule="auto"/>
        <w:jc w:val="both"/>
        <w:rPr>
          <w:rFonts w:ascii="Arial Narrow" w:hAnsi="Arial Narrow" w:cs="Arial"/>
          <w:b/>
          <w:color w:val="000000"/>
        </w:rPr>
      </w:pPr>
      <w:r w:rsidRPr="000D1F6A">
        <w:rPr>
          <w:rFonts w:ascii="Arial Narrow" w:hAnsi="Arial Narrow" w:cs="Arial"/>
          <w:b/>
        </w:rPr>
        <w:t>ESTABELECE DIRETRIZES PARA O FOMENTO À AGRICULTURA URBANA NO MUNICÍPIO DE SETE LAGOAS E DÁ OUTRAS PROVIDÊNCIAS.</w:t>
      </w:r>
    </w:p>
    <w:p w14:paraId="7A179ACD" w14:textId="0A44CB53"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r w:rsidR="00C412D4">
        <w:rPr>
          <w:rFonts w:ascii="Arial Narrow" w:hAnsi="Arial Narrow"/>
          <w:b/>
          <w:bCs/>
        </w:rPr>
        <w:t>Marcelo Pires Rodrigues</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6FD51962" w14:textId="77777777" w:rsidR="000D1F6A" w:rsidRDefault="00A14607" w:rsidP="000D1F6A">
      <w:pPr>
        <w:spacing w:after="0" w:line="360" w:lineRule="auto"/>
        <w:jc w:val="both"/>
        <w:rPr>
          <w:rFonts w:ascii="Arial" w:hAnsi="Arial" w:cs="Arial"/>
          <w:sz w:val="24"/>
          <w:szCs w:val="24"/>
        </w:rPr>
      </w:pPr>
      <w:r w:rsidRPr="00983F9F">
        <w:rPr>
          <w:rFonts w:ascii="Arial Narrow" w:hAnsi="Arial Narrow"/>
        </w:rPr>
        <w:t>Vem para parecer dessa Procuradoria o Projeto de Lei Ordinária n</w:t>
      </w:r>
      <w:r w:rsidRPr="00EF60FD">
        <w:rPr>
          <w:rFonts w:ascii="Arial Narrow" w:hAnsi="Arial Narrow"/>
        </w:rPr>
        <w:t xml:space="preserve">.º </w:t>
      </w:r>
      <w:r w:rsidR="00C412D4">
        <w:rPr>
          <w:rFonts w:ascii="Arial Narrow" w:hAnsi="Arial Narrow"/>
        </w:rPr>
        <w:t>356</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C412D4">
        <w:rPr>
          <w:rFonts w:ascii="Arial Narrow" w:hAnsi="Arial Narrow"/>
        </w:rPr>
        <w:t>Marcelo Pires Rodrigues</w:t>
      </w:r>
      <w:r w:rsidR="00B67991">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B67991">
        <w:rPr>
          <w:rFonts w:ascii="Arial Narrow" w:hAnsi="Arial Narrow"/>
        </w:rPr>
        <w:t xml:space="preserve"> </w:t>
      </w:r>
      <w:r w:rsidR="000D1F6A" w:rsidRPr="000D1F6A">
        <w:rPr>
          <w:rFonts w:ascii="Arial Narrow" w:hAnsi="Arial Narrow" w:cs="Arial"/>
          <w:i/>
          <w:iCs/>
          <w:color w:val="44546A" w:themeColor="text2"/>
        </w:rPr>
        <w:t>Esta Lei estabelece diretrizes para o fomento à agricultura urbana no Município de Sete Lagoas, com o objetivo de promover a segurança alimentar e nutricional, o uso sustentável do solo urbano, a educação ambiental e o fortalecimento da economia local.</w:t>
      </w:r>
    </w:p>
    <w:p w14:paraId="5EAC89DC" w14:textId="5D3BC52D"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5F28E571" w14:textId="77777777" w:rsidR="00C412D4" w:rsidRPr="00C412D4" w:rsidRDefault="00C412D4" w:rsidP="00C412D4">
      <w:pPr>
        <w:pStyle w:val="Default"/>
        <w:spacing w:line="360" w:lineRule="auto"/>
        <w:ind w:left="2268"/>
        <w:jc w:val="both"/>
        <w:rPr>
          <w:rFonts w:ascii="Arial Narrow" w:hAnsi="Arial Narrow"/>
          <w:i/>
          <w:iCs/>
          <w:color w:val="44546A" w:themeColor="text2"/>
          <w:sz w:val="20"/>
          <w:szCs w:val="20"/>
        </w:rPr>
      </w:pPr>
      <w:r w:rsidRPr="00C412D4">
        <w:rPr>
          <w:rFonts w:ascii="Arial Narrow" w:hAnsi="Arial Narrow"/>
          <w:i/>
          <w:iCs/>
          <w:color w:val="44546A" w:themeColor="text2"/>
          <w:sz w:val="20"/>
          <w:szCs w:val="20"/>
        </w:rPr>
        <w:t>A presente proposição visa instituir diretrizes para a promoção da agricultura urbana em Sete Lagoas, atendendo a uma demanda crescente por políticas públicas sustentáveis, inclusivas e de baixo custo.</w:t>
      </w:r>
    </w:p>
    <w:p w14:paraId="3EF6F64B" w14:textId="77777777" w:rsidR="00C412D4" w:rsidRPr="00C412D4" w:rsidRDefault="00C412D4" w:rsidP="00C412D4">
      <w:pPr>
        <w:pStyle w:val="Default"/>
        <w:spacing w:line="360" w:lineRule="auto"/>
        <w:ind w:left="2268"/>
        <w:jc w:val="both"/>
        <w:rPr>
          <w:rFonts w:ascii="Arial Narrow" w:hAnsi="Arial Narrow"/>
          <w:i/>
          <w:iCs/>
          <w:color w:val="44546A" w:themeColor="text2"/>
          <w:sz w:val="20"/>
          <w:szCs w:val="20"/>
        </w:rPr>
      </w:pPr>
      <w:r w:rsidRPr="00C412D4">
        <w:rPr>
          <w:rFonts w:ascii="Arial Narrow" w:hAnsi="Arial Narrow"/>
          <w:i/>
          <w:iCs/>
          <w:color w:val="44546A" w:themeColor="text2"/>
          <w:sz w:val="20"/>
          <w:szCs w:val="20"/>
        </w:rPr>
        <w:t>A agricultura urbana é reconhecida por seu potencial transformador em áreas urbanas, ao articular ações de saúde, meio ambiente, educação e desenvolvimento social. Ao ocupar de forma produtiva terrenos ociosos e estimular o envolvimento comunitário, a prática contribui para o enfrentamento da insegurança alimentar, a valorização do espaço urbano e a construção de uma cidade mais resiliente.</w:t>
      </w:r>
    </w:p>
    <w:p w14:paraId="235377B6" w14:textId="77777777" w:rsidR="00C412D4" w:rsidRPr="00C412D4" w:rsidRDefault="00C412D4" w:rsidP="00C412D4">
      <w:pPr>
        <w:pStyle w:val="Default"/>
        <w:spacing w:line="360" w:lineRule="auto"/>
        <w:ind w:left="2268"/>
        <w:jc w:val="both"/>
        <w:rPr>
          <w:rFonts w:ascii="Arial Narrow" w:hAnsi="Arial Narrow"/>
          <w:i/>
          <w:iCs/>
          <w:color w:val="44546A" w:themeColor="text2"/>
          <w:sz w:val="20"/>
          <w:szCs w:val="20"/>
        </w:rPr>
      </w:pPr>
      <w:r w:rsidRPr="00C412D4">
        <w:rPr>
          <w:rFonts w:ascii="Arial Narrow" w:hAnsi="Arial Narrow"/>
          <w:i/>
          <w:iCs/>
          <w:color w:val="44546A" w:themeColor="text2"/>
          <w:sz w:val="20"/>
          <w:szCs w:val="20"/>
        </w:rPr>
        <w:t>Este projeto observa os limites constitucionais da atuação do Poder Legislativo, ao estabelecer diretrizes e autorizar medidas sem invadir competências exclusivas do Poder Executivo, conforme jurisprudência consolidada do Supremo Tribunal Federal.</w:t>
      </w:r>
    </w:p>
    <w:p w14:paraId="54243A23" w14:textId="77777777" w:rsidR="00C412D4" w:rsidRPr="00C412D4" w:rsidRDefault="00C412D4" w:rsidP="00C412D4">
      <w:pPr>
        <w:pStyle w:val="Default"/>
        <w:spacing w:line="360" w:lineRule="auto"/>
        <w:ind w:left="2268"/>
        <w:jc w:val="both"/>
        <w:rPr>
          <w:rFonts w:ascii="Arial Narrow" w:hAnsi="Arial Narrow"/>
          <w:i/>
          <w:iCs/>
          <w:color w:val="44546A" w:themeColor="text2"/>
          <w:sz w:val="20"/>
          <w:szCs w:val="20"/>
        </w:rPr>
      </w:pPr>
      <w:r w:rsidRPr="00C412D4">
        <w:rPr>
          <w:rFonts w:ascii="Arial Narrow" w:hAnsi="Arial Narrow"/>
          <w:i/>
          <w:iCs/>
          <w:color w:val="44546A" w:themeColor="text2"/>
          <w:sz w:val="20"/>
          <w:szCs w:val="20"/>
        </w:rPr>
        <w:t>Diante da relevância da matéria, solicito o apoio dos nobres pares para a aprovação da presente iniciativa.</w:t>
      </w:r>
    </w:p>
    <w:p w14:paraId="42CCB7FE" w14:textId="77777777" w:rsidR="00B67991" w:rsidRDefault="00B67991" w:rsidP="00537445">
      <w:pPr>
        <w:ind w:firstLine="1134"/>
        <w:rPr>
          <w:rFonts w:ascii="Arial Narrow" w:hAnsi="Arial Narrow"/>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2C85939B" w14:textId="77777777" w:rsidR="000D1F6A" w:rsidRDefault="0082581D" w:rsidP="000D1F6A">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BC87FAA" w14:textId="11E36E9A" w:rsidR="00715067" w:rsidRPr="000D1F6A" w:rsidRDefault="00715067" w:rsidP="000D1F6A">
      <w:pPr>
        <w:ind w:firstLine="1134"/>
        <w:rPr>
          <w:rFonts w:ascii="Arial Narrow" w:hAnsi="Arial Narrow"/>
          <w:b/>
          <w:bCs/>
          <w:u w:val="single"/>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lastRenderedPageBreak/>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56D926E9"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Default="00B67991" w:rsidP="00715067">
      <w:pPr>
        <w:ind w:firstLine="1134"/>
        <w:jc w:val="both"/>
        <w:rPr>
          <w:rFonts w:ascii="Arial Narrow" w:hAnsi="Arial Narrow"/>
        </w:rPr>
      </w:pP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3BC7FF64" w14:textId="6E15D11B" w:rsidR="009D3B07" w:rsidRDefault="009D3B07" w:rsidP="003A4818">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5603DE8F" w14:textId="77777777" w:rsidR="00B67991" w:rsidRPr="009D3B07" w:rsidRDefault="00B67991" w:rsidP="003A4818">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 xml:space="preserve">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w:t>
      </w:r>
      <w:r w:rsidRPr="00624B40">
        <w:rPr>
          <w:rFonts w:ascii="Arial Narrow" w:hAnsi="Arial Narrow"/>
          <w:b/>
          <w:bCs/>
          <w:sz w:val="20"/>
          <w:szCs w:val="20"/>
        </w:rPr>
        <w:lastRenderedPageBreak/>
        <w:t>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21FEBCF" w14:textId="0ADD27A8" w:rsidR="00C412D4" w:rsidRDefault="002E0F9B" w:rsidP="00E5342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7100905A" w14:textId="224E1E6A" w:rsidR="00E5342B" w:rsidRPr="00FC0544" w:rsidRDefault="00E5342B" w:rsidP="00E5342B">
      <w:pPr>
        <w:spacing w:line="276" w:lineRule="auto"/>
        <w:ind w:firstLine="1134"/>
        <w:jc w:val="both"/>
        <w:rPr>
          <w:rFonts w:ascii="Arial Narrow" w:hAnsi="Arial Narrow"/>
        </w:rPr>
      </w:pPr>
      <w:r w:rsidRPr="00FC0544">
        <w:rPr>
          <w:rFonts w:ascii="Arial Narrow" w:hAnsi="Arial Narrow"/>
        </w:rPr>
        <w:t>No entanto, constata-se</w:t>
      </w:r>
      <w:r>
        <w:rPr>
          <w:rFonts w:ascii="Arial Narrow" w:hAnsi="Arial Narrow"/>
        </w:rPr>
        <w:t xml:space="preserve"> no Substitutivo 01 ao Projeto de Lei </w:t>
      </w:r>
      <w:r w:rsidRPr="00FC0544">
        <w:rPr>
          <w:rFonts w:ascii="Arial Narrow" w:hAnsi="Arial Narrow"/>
        </w:rPr>
        <w:t xml:space="preserve">analisado que </w:t>
      </w:r>
      <w:r>
        <w:rPr>
          <w:rFonts w:ascii="Arial Narrow" w:hAnsi="Arial Narrow"/>
        </w:rPr>
        <w:t xml:space="preserve">ao estabelecer diretrizes para o fomento à agricultura urbana, no artigo 5º, </w:t>
      </w:r>
      <w:r w:rsidRPr="00FC0544">
        <w:rPr>
          <w:rFonts w:ascii="Arial Narrow" w:hAnsi="Arial Narrow"/>
        </w:rPr>
        <w:t>trata da estrutura da Administração municipal</w:t>
      </w:r>
      <w:r>
        <w:rPr>
          <w:rFonts w:ascii="Arial Narrow" w:hAnsi="Arial Narrow"/>
        </w:rPr>
        <w:t xml:space="preserve"> e da natureza autorizativa:</w:t>
      </w:r>
    </w:p>
    <w:p w14:paraId="2BBF399C" w14:textId="77777777" w:rsidR="00E5342B" w:rsidRPr="00E5342B" w:rsidRDefault="00E5342B" w:rsidP="00E5342B">
      <w:pPr>
        <w:spacing w:after="0" w:line="360" w:lineRule="auto"/>
        <w:ind w:left="3402"/>
        <w:jc w:val="both"/>
        <w:rPr>
          <w:rFonts w:ascii="Arial Narrow" w:hAnsi="Arial Narrow" w:cs="Arial"/>
          <w:i/>
          <w:iCs/>
          <w:color w:val="44546A" w:themeColor="text2"/>
          <w:sz w:val="20"/>
          <w:szCs w:val="20"/>
        </w:rPr>
      </w:pPr>
      <w:r w:rsidRPr="00E5342B">
        <w:rPr>
          <w:rFonts w:ascii="Arial Narrow" w:hAnsi="Arial Narrow" w:cs="Arial"/>
          <w:bCs/>
          <w:i/>
          <w:iCs/>
          <w:color w:val="44546A" w:themeColor="text2"/>
          <w:sz w:val="20"/>
          <w:szCs w:val="20"/>
        </w:rPr>
        <w:t>Art. 5º</w:t>
      </w:r>
      <w:r w:rsidRPr="00E5342B">
        <w:rPr>
          <w:rFonts w:ascii="Arial Narrow" w:hAnsi="Arial Narrow" w:cs="Arial"/>
          <w:i/>
          <w:iCs/>
          <w:color w:val="44546A" w:themeColor="text2"/>
          <w:sz w:val="20"/>
          <w:szCs w:val="20"/>
        </w:rPr>
        <w:t xml:space="preserve"> </w:t>
      </w:r>
      <w:r w:rsidRPr="00E5342B">
        <w:rPr>
          <w:rFonts w:ascii="Arial Narrow" w:hAnsi="Arial Narrow" w:cs="Arial"/>
          <w:b/>
          <w:bCs/>
          <w:i/>
          <w:iCs/>
          <w:color w:val="44546A" w:themeColor="text2"/>
          <w:sz w:val="20"/>
          <w:szCs w:val="20"/>
        </w:rPr>
        <w:t>Fica o Município autorizado</w:t>
      </w:r>
      <w:r w:rsidRPr="00E5342B">
        <w:rPr>
          <w:rFonts w:ascii="Arial Narrow" w:hAnsi="Arial Narrow" w:cs="Arial"/>
          <w:i/>
          <w:iCs/>
          <w:color w:val="44546A" w:themeColor="text2"/>
          <w:sz w:val="20"/>
          <w:szCs w:val="20"/>
        </w:rPr>
        <w:t xml:space="preserve"> a celebrar parcerias e convênios com instituições públicas e privadas, organizações da sociedade civil e entidades representativas, com vistas à execução de ações alinhadas às diretrizes desta Lei.</w:t>
      </w:r>
    </w:p>
    <w:p w14:paraId="75E90605" w14:textId="77777777" w:rsidR="00E5342B" w:rsidRPr="00FC0544" w:rsidRDefault="00E5342B" w:rsidP="00E5342B">
      <w:pPr>
        <w:spacing w:line="276" w:lineRule="auto"/>
        <w:ind w:firstLine="1134"/>
        <w:jc w:val="both"/>
        <w:rPr>
          <w:rFonts w:ascii="Arial Narrow" w:hAnsi="Arial Narrow"/>
        </w:rPr>
      </w:pPr>
      <w:r w:rsidRPr="00FC0544">
        <w:rPr>
          <w:rFonts w:ascii="Arial Narrow" w:hAnsi="Arial Narrow"/>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0798E9C0" w14:textId="77777777" w:rsidR="00E5342B" w:rsidRPr="00FC0544" w:rsidRDefault="00E5342B" w:rsidP="00E5342B">
      <w:pPr>
        <w:spacing w:line="276" w:lineRule="auto"/>
        <w:ind w:firstLine="1134"/>
        <w:jc w:val="both"/>
        <w:rPr>
          <w:rFonts w:ascii="Arial Narrow" w:hAnsi="Arial Narrow"/>
        </w:rPr>
      </w:pPr>
      <w:r w:rsidRPr="00FC0544">
        <w:rPr>
          <w:rFonts w:ascii="Arial Narrow" w:hAnsi="Arial Narrow"/>
        </w:rPr>
        <w:t xml:space="preserve">Por esta razão, </w:t>
      </w:r>
      <w:r w:rsidRPr="00FC0544">
        <w:rPr>
          <w:rFonts w:ascii="Arial Narrow" w:hAnsi="Arial Narrow"/>
          <w:u w:val="single"/>
        </w:rPr>
        <w:t xml:space="preserve">sugere </w:t>
      </w:r>
      <w:r>
        <w:rPr>
          <w:rFonts w:ascii="Arial Narrow" w:hAnsi="Arial Narrow"/>
          <w:u w:val="single"/>
        </w:rPr>
        <w:t xml:space="preserve">a </w:t>
      </w:r>
      <w:r w:rsidRPr="00787E9D">
        <w:rPr>
          <w:rFonts w:ascii="Arial Narrow" w:hAnsi="Arial Narrow"/>
          <w:u w:val="single"/>
        </w:rPr>
        <w:t>supressão</w:t>
      </w:r>
      <w:r>
        <w:rPr>
          <w:rFonts w:ascii="Arial Narrow" w:hAnsi="Arial Narrow"/>
          <w:u w:val="single"/>
        </w:rPr>
        <w:t xml:space="preserve"> do artigo 5º</w:t>
      </w:r>
      <w:r w:rsidRPr="00FC0544">
        <w:rPr>
          <w:rFonts w:ascii="Arial Narrow" w:hAnsi="Arial Narrow"/>
        </w:rPr>
        <w:t xml:space="preserve"> a ser confeccionada para desobrigar o que envolver diretamente os equipamentos de gerencia do </w:t>
      </w:r>
      <w:r>
        <w:rPr>
          <w:rFonts w:ascii="Arial Narrow" w:hAnsi="Arial Narrow"/>
        </w:rPr>
        <w:t>P</w:t>
      </w:r>
      <w:r w:rsidRPr="00FC0544">
        <w:rPr>
          <w:rFonts w:ascii="Arial Narrow" w:hAnsi="Arial Narrow"/>
        </w:rPr>
        <w:t xml:space="preserve">oder </w:t>
      </w:r>
      <w:r>
        <w:rPr>
          <w:rFonts w:ascii="Arial Narrow" w:hAnsi="Arial Narrow"/>
        </w:rPr>
        <w:t>E</w:t>
      </w:r>
      <w:r w:rsidRPr="00FC0544">
        <w:rPr>
          <w:rFonts w:ascii="Arial Narrow" w:hAnsi="Arial Narrow"/>
        </w:rPr>
        <w:t>xecutivo e cumprir a adequação do projeto a constitucionalidade.</w:t>
      </w:r>
    </w:p>
    <w:p w14:paraId="228FD136" w14:textId="77777777" w:rsidR="00C412D4" w:rsidRDefault="00C412D4" w:rsidP="003A4818">
      <w:pPr>
        <w:spacing w:line="276" w:lineRule="auto"/>
        <w:ind w:firstLine="1134"/>
        <w:jc w:val="both"/>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08F71D54" w14:textId="31B287D6" w:rsidR="00E5342B" w:rsidRPr="00C01EAF" w:rsidRDefault="00E5342B" w:rsidP="00E5342B">
      <w:pPr>
        <w:ind w:firstLine="1134"/>
        <w:jc w:val="both"/>
        <w:rPr>
          <w:rFonts w:ascii="Arial Narrow" w:hAnsi="Arial Narrow"/>
        </w:rPr>
      </w:pPr>
      <w:r w:rsidRPr="00D85FB4">
        <w:rPr>
          <w:rFonts w:ascii="Arial Narrow" w:hAnsi="Arial Narrow"/>
        </w:rPr>
        <w:t>Em face do exposto,</w:t>
      </w:r>
      <w:r>
        <w:rPr>
          <w:rFonts w:ascii="Arial Narrow" w:hAnsi="Arial Narrow"/>
        </w:rPr>
        <w:t xml:space="preserve"> concluímos que </w:t>
      </w:r>
      <w:r w:rsidRPr="00C01EAF">
        <w:rPr>
          <w:rFonts w:ascii="Arial Narrow" w:hAnsi="Arial Narrow"/>
        </w:rPr>
        <w:t xml:space="preserve">o Projeto de Lei Ordinária nº </w:t>
      </w:r>
      <w:r>
        <w:rPr>
          <w:rFonts w:ascii="Arial Narrow" w:hAnsi="Arial Narrow"/>
        </w:rPr>
        <w:t>356</w:t>
      </w:r>
      <w:r w:rsidRPr="00C01EAF">
        <w:rPr>
          <w:rFonts w:ascii="Arial Narrow" w:hAnsi="Arial Narrow"/>
        </w:rPr>
        <w:t xml:space="preserve">/2025, desde de que, atendida a observação em relação </w:t>
      </w:r>
      <w:r>
        <w:rPr>
          <w:rFonts w:ascii="Arial Narrow" w:hAnsi="Arial Narrow"/>
        </w:rPr>
        <w:t xml:space="preserve">a </w:t>
      </w:r>
      <w:r w:rsidRPr="00AD278B">
        <w:rPr>
          <w:rFonts w:ascii="Arial Narrow" w:hAnsi="Arial Narrow"/>
          <w:u w:val="single"/>
        </w:rPr>
        <w:t>sugestão de supressão</w:t>
      </w:r>
      <w:r>
        <w:rPr>
          <w:rFonts w:ascii="Arial Narrow" w:hAnsi="Arial Narrow"/>
          <w:u w:val="single"/>
        </w:rPr>
        <w:t xml:space="preserve"> do artigo 5º</w:t>
      </w:r>
      <w:r w:rsidRPr="00C01EAF">
        <w:rPr>
          <w:rFonts w:ascii="Arial Narrow" w:hAnsi="Arial Narrow"/>
        </w:rPr>
        <w:t xml:space="preserve">, a proposição </w:t>
      </w:r>
      <w:r w:rsidRPr="00C01EAF">
        <w:rPr>
          <w:rFonts w:ascii="Arial Narrow" w:hAnsi="Arial Narrow"/>
          <w:b/>
          <w:bCs/>
        </w:rPr>
        <w:t>atenderá</w:t>
      </w:r>
      <w:r w:rsidRPr="00C01EAF">
        <w:rPr>
          <w:rFonts w:ascii="Arial Narrow" w:hAnsi="Arial Narrow"/>
        </w:rPr>
        <w:t xml:space="preserve"> aos aspectos de constitucionalidade, legalidade e juridicidade.</w:t>
      </w:r>
    </w:p>
    <w:p w14:paraId="47CFC372" w14:textId="77777777" w:rsidR="00E5342B" w:rsidRDefault="00E5342B" w:rsidP="00E5342B">
      <w:pPr>
        <w:spacing w:line="276" w:lineRule="auto"/>
        <w:ind w:firstLine="1134"/>
        <w:jc w:val="both"/>
        <w:rPr>
          <w:rFonts w:ascii="Arial Narrow" w:hAnsi="Arial Narrow"/>
        </w:rPr>
      </w:pPr>
      <w:r>
        <w:rPr>
          <w:rFonts w:ascii="Arial Narrow" w:hAnsi="Arial Narrow"/>
        </w:rPr>
        <w:t>É o parecer.</w:t>
      </w:r>
    </w:p>
    <w:p w14:paraId="0AA0A5B2" w14:textId="0BE41394" w:rsidR="00577C06" w:rsidRPr="00577C06" w:rsidRDefault="00577C06" w:rsidP="00E5342B">
      <w:pPr>
        <w:spacing w:line="276" w:lineRule="auto"/>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3F384D00" w14:textId="77777777" w:rsidR="00405B36" w:rsidRDefault="00577C06" w:rsidP="00405B36">
      <w:pPr>
        <w:pStyle w:val="SemEspaamento"/>
        <w:jc w:val="center"/>
        <w:rPr>
          <w:rFonts w:ascii="Arial Narrow" w:hAnsi="Arial Narrow" w:cs="Arial"/>
          <w:b/>
          <w:bCs/>
          <w:sz w:val="24"/>
          <w:szCs w:val="24"/>
          <w:lang w:eastAsia="ar-SA"/>
        </w:rPr>
      </w:pPr>
      <w:r w:rsidRPr="00577C06">
        <w:rPr>
          <w:rFonts w:ascii="Arial Narrow" w:hAnsi="Arial Narrow"/>
        </w:rPr>
        <w:t xml:space="preserve">       </w:t>
      </w:r>
      <w:r w:rsidR="00405B36">
        <w:rPr>
          <w:rFonts w:ascii="Arial Narrow" w:hAnsi="Arial Narrow" w:cs="Arial"/>
          <w:b/>
          <w:bCs/>
          <w:sz w:val="24"/>
          <w:szCs w:val="24"/>
          <w:lang w:eastAsia="ar-SA"/>
        </w:rPr>
        <w:t>Dr. WILLIAN GOMES DA SILVA</w:t>
      </w:r>
    </w:p>
    <w:p w14:paraId="6DEEDB14" w14:textId="77777777" w:rsidR="00405B36" w:rsidRDefault="00405B36" w:rsidP="00405B36">
      <w:pPr>
        <w:pStyle w:val="SemEspaamento"/>
        <w:jc w:val="center"/>
        <w:rPr>
          <w:rFonts w:ascii="Arial Narrow" w:hAnsi="Arial Narrow" w:cs="Arial"/>
          <w:sz w:val="24"/>
          <w:szCs w:val="24"/>
          <w:lang w:eastAsia="ar-SA"/>
        </w:rPr>
      </w:pPr>
      <w:r>
        <w:rPr>
          <w:rFonts w:ascii="Arial Narrow" w:hAnsi="Arial Narrow" w:cs="Arial"/>
          <w:sz w:val="24"/>
          <w:szCs w:val="24"/>
          <w:lang w:eastAsia="ar-SA"/>
        </w:rPr>
        <w:t>Subprocurador-Geral do Legislativo</w:t>
      </w:r>
    </w:p>
    <w:p w14:paraId="7F57858C" w14:textId="77777777" w:rsidR="00405B36" w:rsidRDefault="00405B36" w:rsidP="00405B36">
      <w:pPr>
        <w:pStyle w:val="SemEspaamento"/>
        <w:jc w:val="center"/>
        <w:rPr>
          <w:rFonts w:ascii="Arial" w:hAnsi="Arial" w:cs="Arial"/>
          <w:sz w:val="20"/>
          <w:szCs w:val="20"/>
        </w:rPr>
      </w:pPr>
      <w:r>
        <w:rPr>
          <w:rFonts w:ascii="Arial Narrow" w:hAnsi="Arial Narrow" w:cs="Arial"/>
          <w:sz w:val="24"/>
          <w:szCs w:val="24"/>
          <w:lang w:eastAsia="ar-SA"/>
        </w:rPr>
        <w:t>OAB/MG 149.037</w:t>
      </w:r>
    </w:p>
    <w:p w14:paraId="6082EE44" w14:textId="5BAB52A7" w:rsidR="00AA1405" w:rsidRDefault="00AA1405" w:rsidP="00405B36">
      <w:pPr>
        <w:pStyle w:val="SemEspaamento"/>
        <w:jc w:val="cente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D1F6A"/>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05B36"/>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96388"/>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6010"/>
    <w:rsid w:val="00AB79A4"/>
    <w:rsid w:val="00AE5E44"/>
    <w:rsid w:val="00AF2B9F"/>
    <w:rsid w:val="00B00A8A"/>
    <w:rsid w:val="00B25E9F"/>
    <w:rsid w:val="00B67991"/>
    <w:rsid w:val="00BC26EE"/>
    <w:rsid w:val="00BC4944"/>
    <w:rsid w:val="00BD4F43"/>
    <w:rsid w:val="00C10E61"/>
    <w:rsid w:val="00C143E1"/>
    <w:rsid w:val="00C15388"/>
    <w:rsid w:val="00C412D4"/>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342B"/>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styleId="SemEspaamento">
    <w:name w:val="No Spacing"/>
    <w:uiPriority w:val="1"/>
    <w:qFormat/>
    <w:rsid w:val="00C412D4"/>
    <w:pPr>
      <w:spacing w:after="0" w:line="240" w:lineRule="auto"/>
    </w:pPr>
  </w:style>
  <w:style w:type="paragraph" w:customStyle="1" w:styleId="Default">
    <w:name w:val="Default"/>
    <w:rsid w:val="00C412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255331787">
      <w:bodyDiv w:val="1"/>
      <w:marLeft w:val="0"/>
      <w:marRight w:val="0"/>
      <w:marTop w:val="0"/>
      <w:marBottom w:val="0"/>
      <w:divBdr>
        <w:top w:val="none" w:sz="0" w:space="0" w:color="auto"/>
        <w:left w:val="none" w:sz="0" w:space="0" w:color="auto"/>
        <w:bottom w:val="none" w:sz="0" w:space="0" w:color="auto"/>
        <w:right w:val="none" w:sz="0" w:space="0" w:color="auto"/>
      </w:divBdr>
    </w:div>
    <w:div w:id="265887730">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070077152">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1372337735">
      <w:bodyDiv w:val="1"/>
      <w:marLeft w:val="0"/>
      <w:marRight w:val="0"/>
      <w:marTop w:val="0"/>
      <w:marBottom w:val="0"/>
      <w:divBdr>
        <w:top w:val="none" w:sz="0" w:space="0" w:color="auto"/>
        <w:left w:val="none" w:sz="0" w:space="0" w:color="auto"/>
        <w:bottom w:val="none" w:sz="0" w:space="0" w:color="auto"/>
        <w:right w:val="none" w:sz="0" w:space="0" w:color="auto"/>
      </w:divBdr>
    </w:div>
    <w:div w:id="1931506171">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1248</Words>
  <Characters>6740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Willian Gomes da Silva</cp:lastModifiedBy>
  <cp:revision>6</cp:revision>
  <cp:lastPrinted>2025-07-04T15:17:00Z</cp:lastPrinted>
  <dcterms:created xsi:type="dcterms:W3CDTF">2025-07-02T12:18:00Z</dcterms:created>
  <dcterms:modified xsi:type="dcterms:W3CDTF">2025-07-04T15:17:00Z</dcterms:modified>
</cp:coreProperties>
</file>