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00822" w14:textId="77777777" w:rsidR="007632C2" w:rsidRPr="000D7E24" w:rsidRDefault="007632C2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6AEB8660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688EF73A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PARECER COMISSÃO DE LEGISLAÇÃO E JUSTIÇA</w:t>
      </w:r>
    </w:p>
    <w:p w14:paraId="4FAF4AB4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Relator Thiago Santana</w:t>
      </w:r>
    </w:p>
    <w:p w14:paraId="12D1C50B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1480EED2" w14:textId="77777777" w:rsidR="000D7E24" w:rsidRPr="0003735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  <w:r w:rsidRPr="0003735F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PARECER JURÍDICO DE ADMISSIBILIDADE</w:t>
      </w:r>
    </w:p>
    <w:p w14:paraId="3156AE21" w14:textId="77777777" w:rsidR="000D7E24" w:rsidRPr="0003735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</w:p>
    <w:p w14:paraId="79197B91" w14:textId="26EACF54" w:rsidR="008A3794" w:rsidRPr="008A3794" w:rsidRDefault="000D7E24" w:rsidP="008A379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i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CONTEÚDO:</w:t>
      </w:r>
      <w:r w:rsidR="00903F78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 xml:space="preserve"> </w:t>
      </w:r>
      <w:r w:rsidR="00903F7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EMENDA MODIFICATIVA N.º 01 AO PROJETO DE LEI N.º 114/2025 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QUE </w:t>
      </w:r>
      <w:r w:rsidR="00A30598"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“</w:t>
      </w:r>
      <w:r w:rsidR="008A3794" w:rsidRPr="00903F78">
        <w:rPr>
          <w:rFonts w:ascii="Arial" w:eastAsia="DejaVu Sans" w:hAnsi="Arial" w:cs="Arial"/>
          <w:bCs/>
          <w:i/>
          <w:iCs/>
          <w:color w:val="000000"/>
          <w:kern w:val="1"/>
          <w:sz w:val="24"/>
          <w:szCs w:val="24"/>
        </w:rPr>
        <w:t>TORNA OBRIGATÓRIA A PRESENÇA DO MONITOR COM CURSO DE CAPACITAÇÃO PARA ATUAR NOS VEÍCULOS UTILIZADOS NO TRANSPORTE ESCOLAR DE ALUNOS, COM ATÉ 11 (ONZE) ANOS DE IDADE, NA CIDADE DE SETE LAGOAS</w:t>
      </w:r>
      <w:r w:rsidR="008A3794" w:rsidRPr="008A3794">
        <w:rPr>
          <w:rFonts w:ascii="Arial" w:eastAsia="DejaVu Sans" w:hAnsi="Arial" w:cs="Arial"/>
          <w:b/>
          <w:bCs/>
          <w:iCs/>
          <w:color w:val="000000"/>
          <w:kern w:val="1"/>
          <w:sz w:val="24"/>
          <w:szCs w:val="24"/>
        </w:rPr>
        <w:t>.</w:t>
      </w:r>
      <w:r w:rsidR="00903F78">
        <w:rPr>
          <w:rFonts w:ascii="Arial" w:eastAsia="DejaVu Sans" w:hAnsi="Arial" w:cs="Arial"/>
          <w:b/>
          <w:bCs/>
          <w:iCs/>
          <w:color w:val="000000"/>
          <w:kern w:val="1"/>
          <w:sz w:val="24"/>
          <w:szCs w:val="24"/>
        </w:rPr>
        <w:t>”</w:t>
      </w:r>
      <w:r w:rsidR="008A3794" w:rsidRPr="008A3794">
        <w:rPr>
          <w:rFonts w:ascii="Arial" w:eastAsia="DejaVu Sans" w:hAnsi="Arial" w:cs="Arial"/>
          <w:b/>
          <w:bCs/>
          <w:iCs/>
          <w:color w:val="000000"/>
          <w:kern w:val="1"/>
          <w:sz w:val="24"/>
          <w:szCs w:val="24"/>
        </w:rPr>
        <w:t xml:space="preserve"> </w:t>
      </w:r>
    </w:p>
    <w:p w14:paraId="6562F889" w14:textId="1B17BF7A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20E583BA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1FFB35E3" w14:textId="5DCFCEED" w:rsidR="000D7E24" w:rsidRPr="00903F78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aps/>
          <w:color w:val="000000"/>
          <w:kern w:val="24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AUTORIA: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 w:rsidR="00903F7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COMISSÃO </w:t>
      </w:r>
      <w:r w:rsidR="00903F78" w:rsidRPr="00903F78">
        <w:rPr>
          <w:rFonts w:ascii="Arial" w:eastAsia="DejaVu Sans" w:hAnsi="Arial" w:cs="Arial"/>
          <w:bCs/>
          <w:caps/>
          <w:color w:val="000000"/>
          <w:kern w:val="24"/>
          <w:sz w:val="24"/>
          <w:szCs w:val="24"/>
        </w:rPr>
        <w:t>de Administração Pública, Agropecuária e Política Rural (CAPAPR)</w:t>
      </w:r>
    </w:p>
    <w:p w14:paraId="034F0B9A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0A7CC706" w14:textId="3FC1E0D3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FINALIDADE: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ANÁLISE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DA</w:t>
      </w:r>
      <w:r w:rsidR="00A30598" w:rsidRP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EMENDA MODIFICATIVA N.º 01 AO PROJETO DE LEI N.º 114/2025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,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SOB A ÓTICA DA LEGISLAÇÃO CONSTITUCIONAL E INFRACONSTITUCIONAL MUNICIPAL, ESTADUAL E FEDERAL.</w:t>
      </w:r>
    </w:p>
    <w:p w14:paraId="6FEBEDDF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491179CA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  <w:u w:val="single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  <w:u w:val="single"/>
        </w:rPr>
        <w:t>RELATÓRIO</w:t>
      </w:r>
    </w:p>
    <w:p w14:paraId="3E7A19C4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  <w:u w:val="single"/>
        </w:rPr>
      </w:pPr>
    </w:p>
    <w:p w14:paraId="5454CB44" w14:textId="09B4116A" w:rsidR="00F74480" w:rsidRPr="00F74480" w:rsidRDefault="000D7E24" w:rsidP="00A30598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>Trata-se de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Emenda Modificativa ao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Projeto de Lei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n.º 114/2025,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de autoria 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da Comissão de Administração Pública, Agropecuária e Política Rural (CAPAPR)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,</w:t>
      </w:r>
      <w:r w:rsidR="006B4AF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cujo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 w:rsidR="00A30598" w:rsidRP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objetivo </w:t>
      </w:r>
      <w:r w:rsidR="006B4AF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é </w:t>
      </w:r>
      <w:r w:rsidR="00A30598" w:rsidRP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modificar a redação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da emen</w:t>
      </w:r>
      <w:r w:rsidR="000927EC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t</w:t>
      </w:r>
      <w:bookmarkStart w:id="0" w:name="_GoBack"/>
      <w:bookmarkEnd w:id="0"/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a e do artigo 1º</w:t>
      </w:r>
      <w:r w:rsidR="00A30598" w:rsidRP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, deixa</w:t>
      </w:r>
      <w:r w:rsidR="006B4AF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ndo</w:t>
      </w:r>
      <w:r w:rsidR="00A30598" w:rsidRP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claro que o município não precisará capacitar monitores já contratados, muito menos contratar profissionais já capacitados, o que implicaria alteração no quadro de servidores, alteração de função, despesas com cursos, entre outros, o que prejudicaria a tramitação do presente PLO.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</w:p>
    <w:p w14:paraId="7BF3444A" w14:textId="0733DA96" w:rsidR="000D7E24" w:rsidRPr="000D7E24" w:rsidRDefault="00F74480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F74480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Pr="00F74480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="000D7E24"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="000D7E24"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</w:p>
    <w:p w14:paraId="2CED82A3" w14:textId="05942231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Conforme parecer da douta Procuradoria da Casa, 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a emenda modificativa 01 ao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projeto de lei</w:t>
      </w:r>
      <w:r w:rsidR="00A3059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n.º 114/2025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possui condições válidas de tramitar.</w:t>
      </w:r>
    </w:p>
    <w:p w14:paraId="2EB961CF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18EA1DB0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>A proposição foi distribuída à Comissão de Legislação e Justiça para receber parecer quanto a sua constitucionalidade, legalidade e juridicidade.</w:t>
      </w:r>
    </w:p>
    <w:p w14:paraId="6881BA75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53DB0C52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  <w:u w:val="single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  <w:u w:val="single"/>
        </w:rPr>
        <w:lastRenderedPageBreak/>
        <w:t>FUNDAMENTAÇÃO</w:t>
      </w:r>
    </w:p>
    <w:p w14:paraId="15747C42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  <w:u w:val="single"/>
        </w:rPr>
      </w:pP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</w:p>
    <w:p w14:paraId="30CFBAFB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>Destaco que este parecer será apenas quanto aos aspectos de legalidade, constitucionalidade e juridicidade. Os demais aspectos, incluindo o mérito, serão analisados pelas comissões temáticas e pelo Plenário.</w:t>
      </w:r>
    </w:p>
    <w:p w14:paraId="2C450235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6E72689E" w14:textId="18483026" w:rsid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>Trata-se de tema de competência legislativa d</w:t>
      </w:r>
      <w:r w:rsidR="006B4AF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o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Município (CF, art. 23, </w:t>
      </w:r>
      <w:r w:rsidR="00680901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X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II e artigo 30). A iniciativa parlamentar é legítima, fundada no que dispõe, por simetria, o artigo 61 da Carta da República, não incidindo na espécie quaisquer das reservas à sua iniciativa.</w:t>
      </w:r>
    </w:p>
    <w:p w14:paraId="21F76529" w14:textId="77777777" w:rsidR="00680901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72FD282B" w14:textId="629F6EA4" w:rsidR="00B84978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 xml:space="preserve">Pois bem. </w:t>
      </w:r>
      <w:r w:rsidRPr="00680901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A educação é direito de todos e dever do Estado e da família. O acesso ao ensino obrigatório e gratuito (ou seja, à educação básica, que inclui o ensino fundamental) é direito público subjetivo e seu não oferecimento pelo Poder Público, ou sua oferta irregular, importa responsabilidade da autoridade competente. (Constituição Federal, artigos 205 e 208, §§ 1º e 2º).</w:t>
      </w:r>
    </w:p>
    <w:p w14:paraId="19647CD2" w14:textId="77777777" w:rsidR="00680901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7F38CB79" w14:textId="3476C3C4" w:rsidR="00680901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 xml:space="preserve">É </w:t>
      </w:r>
      <w:r w:rsidRPr="00680901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dever do município assegurar à criança e ao adolescente atendimento no ensino fundamental, através de programas suplementares de material didático-escolar, </w:t>
      </w:r>
      <w:r w:rsidRPr="00680901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  <w:u w:val="single"/>
        </w:rPr>
        <w:t>transporte</w:t>
      </w:r>
      <w:r w:rsidRPr="00680901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, alimentação e assistência à saúde; e regem-se pelas disposições do Estatuto da Criança e do Adolescente as ações de responsabilidade por ofensa aos direitos a eles assegurados, referentes ao não oferecimento ou oferta irregular de programas suplementares de oferta de material didático-escolar, transporte e assistência à saúde do educando do ensino fundamental (Lei n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.</w:t>
      </w:r>
      <w:r w:rsidRPr="00680901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º 8.069, de 13 de julho de 1990 – Estatuto da Criança e do Adolescente –, artigos 54, VII, e 208, V).</w:t>
      </w:r>
    </w:p>
    <w:p w14:paraId="4B411044" w14:textId="77777777" w:rsidR="00680901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13F4E15F" w14:textId="2C0927DA" w:rsidR="00680901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 xml:space="preserve">Ademais. </w:t>
      </w:r>
      <w:r w:rsidRPr="00680901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É competência comum da União, dos Estados, do Distrito Federal e dos Municípios proporcionar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em</w:t>
      </w:r>
      <w:r w:rsidRPr="00680901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os meios de acesso à cultura, à educação e à ciência – entre os quais se pode incluir, certamente, o transporte escolar digno e seguro (Constituição Federal, artigo 23, V).</w:t>
      </w:r>
    </w:p>
    <w:p w14:paraId="592DFA36" w14:textId="77777777" w:rsidR="00680901" w:rsidRPr="000D7E24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25DEC0F3" w14:textId="33AE76E0" w:rsidR="00B84978" w:rsidRDefault="00B84978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 xml:space="preserve"> </w:t>
      </w:r>
      <w:r w:rsidR="00F74480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Lado outro, o</w:t>
      </w:r>
      <w:r w:rsidRPr="00B8497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Código de Trânsito, apesar de estabelecer normas para o transporte coletivo escolar, não faz referência à presença de um monitor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 w:rsidRPr="00B8497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no veículo. Já existem algumas leis municipais</w:t>
      </w:r>
      <w:r w:rsidR="00F74480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. Entretanto, não</w:t>
      </w:r>
      <w:r w:rsidRPr="00B8497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há uma norma federal.</w:t>
      </w:r>
    </w:p>
    <w:p w14:paraId="3710A57C" w14:textId="77777777" w:rsidR="00B84978" w:rsidRDefault="00B84978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7FFD67FD" w14:textId="14B289A0" w:rsidR="000D7E24" w:rsidRPr="000D7E24" w:rsidRDefault="00B84978" w:rsidP="00F74480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lastRenderedPageBreak/>
        <w:t xml:space="preserve"> </w:t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</w:p>
    <w:p w14:paraId="378B55A3" w14:textId="77777777" w:rsidR="000D7E24" w:rsidRPr="0003735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iCs/>
          <w:caps/>
          <w:color w:val="000000"/>
          <w:kern w:val="24"/>
          <w:sz w:val="24"/>
          <w:szCs w:val="24"/>
          <w:u w:val="single"/>
        </w:rPr>
      </w:pPr>
      <w:r w:rsidRPr="0003735F">
        <w:rPr>
          <w:rFonts w:ascii="Arial" w:eastAsia="DejaVu Sans" w:hAnsi="Arial" w:cs="Arial"/>
          <w:b/>
          <w:bCs/>
          <w:iCs/>
          <w:caps/>
          <w:color w:val="000000"/>
          <w:kern w:val="24"/>
          <w:sz w:val="24"/>
          <w:szCs w:val="24"/>
          <w:u w:val="single"/>
        </w:rPr>
        <w:t>Conclusão</w:t>
      </w:r>
    </w:p>
    <w:p w14:paraId="77612A73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iCs/>
          <w:color w:val="000000"/>
          <w:kern w:val="1"/>
          <w:sz w:val="24"/>
          <w:szCs w:val="24"/>
        </w:rPr>
      </w:pPr>
    </w:p>
    <w:p w14:paraId="65A66E9E" w14:textId="29FAC76F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ab/>
        <w:t xml:space="preserve">Face o exposto, concluo que </w:t>
      </w:r>
      <w:r w:rsidR="00A8493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a Emenda Modificativa n.º 01 ao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Projeto de Lei n.º </w:t>
      </w:r>
      <w:r w:rsidR="00F74480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114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/2025 não encontra nenhuma espécie de vício apto a inviabilizar seu prosseguimento.</w:t>
      </w:r>
    </w:p>
    <w:p w14:paraId="3CEE9285" w14:textId="77777777" w:rsidR="000D7E24" w:rsidRPr="000D7E24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2777BA1B" w14:textId="5BD8AF2D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Sala das Reuniões, </w:t>
      </w:r>
      <w:r w:rsidR="00A8493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02 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de </w:t>
      </w:r>
      <w:r w:rsidR="00A8493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ju</w:t>
      </w:r>
      <w:r w:rsidR="006B4AF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l</w:t>
      </w:r>
      <w:r w:rsidR="00A84938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ho</w:t>
      </w:r>
      <w:r w:rsidRPr="000D7E24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de 2025.</w:t>
      </w:r>
    </w:p>
    <w:p w14:paraId="372B63B8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14:paraId="169D4F61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Thiago Augusto Rodrigues Santana</w:t>
      </w:r>
    </w:p>
    <w:p w14:paraId="2BFB054B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Relator</w:t>
      </w:r>
    </w:p>
    <w:p w14:paraId="5806EBE8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  <w:u w:val="single"/>
        </w:rPr>
      </w:pPr>
    </w:p>
    <w:p w14:paraId="1C94FF12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  <w:u w:val="single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  <w:u w:val="single"/>
        </w:rPr>
        <w:t>V O T O S</w:t>
      </w:r>
    </w:p>
    <w:p w14:paraId="1B0A1C93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De acordo com o relator</w:t>
      </w:r>
    </w:p>
    <w:p w14:paraId="6DF6EE5E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</w:p>
    <w:p w14:paraId="35238A7B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</w:p>
    <w:p w14:paraId="2F844DC0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Ismael Soares de Moura</w:t>
      </w:r>
    </w:p>
    <w:p w14:paraId="01A79A04" w14:textId="77777777" w:rsidR="000D7E24" w:rsidRP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</w:p>
    <w:p w14:paraId="5AFCF3A8" w14:textId="77777777" w:rsidR="007632C2" w:rsidRPr="000D7E24" w:rsidRDefault="007632C2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</w:p>
    <w:p w14:paraId="73648E2F" w14:textId="77777777" w:rsidR="000D6D51" w:rsidRPr="000D7E24" w:rsidRDefault="000D6D51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color w:val="000000"/>
          <w:kern w:val="1"/>
          <w:sz w:val="24"/>
          <w:szCs w:val="24"/>
        </w:rPr>
      </w:pPr>
    </w:p>
    <w:p w14:paraId="11079083" w14:textId="407F63A4" w:rsidR="000E0727" w:rsidRPr="000D7E24" w:rsidRDefault="000E0727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color w:val="000000"/>
          <w:kern w:val="1"/>
          <w:sz w:val="24"/>
          <w:szCs w:val="24"/>
        </w:rPr>
      </w:pPr>
      <w:r w:rsidRPr="000D7E24">
        <w:rPr>
          <w:rFonts w:ascii="Arial" w:eastAsia="DejaVu Sans" w:hAnsi="Arial" w:cs="Arial"/>
          <w:b/>
          <w:color w:val="000000"/>
          <w:kern w:val="1"/>
          <w:sz w:val="24"/>
          <w:szCs w:val="24"/>
        </w:rPr>
        <w:t>Marcelo Pires Rodrigues</w:t>
      </w:r>
    </w:p>
    <w:p w14:paraId="457D2C70" w14:textId="1E848AE2" w:rsidR="00371E9A" w:rsidRPr="000D7E24" w:rsidRDefault="00371E9A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sectPr w:rsidR="00371E9A" w:rsidRPr="000D7E24" w:rsidSect="00107ECA">
      <w:headerReference w:type="default" r:id="rId6"/>
      <w:footerReference w:type="default" r:id="rId7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F0F88" w14:textId="77777777" w:rsidR="008A0690" w:rsidRDefault="008A0690" w:rsidP="00ED0769">
      <w:pPr>
        <w:spacing w:after="0" w:line="240" w:lineRule="auto"/>
      </w:pPr>
      <w:r>
        <w:separator/>
      </w:r>
    </w:p>
  </w:endnote>
  <w:endnote w:type="continuationSeparator" w:id="0">
    <w:p w14:paraId="35695EA3" w14:textId="77777777" w:rsidR="008A0690" w:rsidRDefault="008A0690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E710" w14:textId="46584773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 xml:space="preserve">Rua Domingos 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Louverture,335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, sala 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EE34E5" w:rsidRPr="00EE34E5">
      <w:rPr>
        <w:rFonts w:ascii="Cambria" w:eastAsia="Times New Roman" w:hAnsi="Cambria" w:cs="Arial"/>
        <w:sz w:val="20"/>
        <w:szCs w:val="20"/>
      </w:rPr>
      <w:t xml:space="preserve"> </w:t>
    </w:r>
    <w:r w:rsidR="00EE34E5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732A6" w14:textId="77777777" w:rsidR="008A0690" w:rsidRDefault="008A0690" w:rsidP="00ED0769">
      <w:pPr>
        <w:spacing w:after="0" w:line="240" w:lineRule="auto"/>
      </w:pPr>
      <w:r>
        <w:separator/>
      </w:r>
    </w:p>
  </w:footnote>
  <w:footnote w:type="continuationSeparator" w:id="0">
    <w:p w14:paraId="494A4F49" w14:textId="77777777" w:rsidR="008A0690" w:rsidRDefault="008A0690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1F674F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269" cy="1501140"/>
          <wp:effectExtent l="0" t="0" r="698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56269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068E7463" w:rsidR="00743DFF" w:rsidRPr="000B34A9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>
      <w:rPr>
        <w:rFonts w:ascii="Calibri" w:hAnsi="Calibri" w:cs="Calibri"/>
        <w:sz w:val="18"/>
      </w:rPr>
      <w:t xml:space="preserve">, 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sala </w:t>
    </w:r>
    <w:r w:rsidR="00EE34E5">
      <w:rPr>
        <w:rFonts w:ascii="Calibri" w:hAnsi="Calibri" w:cs="Calibri"/>
        <w:color w:val="000000" w:themeColor="text1"/>
        <w:sz w:val="18"/>
      </w:rPr>
      <w:t>205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, </w:t>
    </w:r>
    <w:r w:rsidR="00312455">
      <w:rPr>
        <w:rFonts w:ascii="Calibri" w:hAnsi="Calibri" w:cs="Calibri"/>
        <w:sz w:val="18"/>
      </w:rPr>
      <w:t>2° andar</w:t>
    </w:r>
    <w:r w:rsidRPr="000B34A9">
      <w:rPr>
        <w:rFonts w:ascii="Calibri" w:hAnsi="Calibri" w:cs="Calibri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03861"/>
    <w:rsid w:val="00003DD6"/>
    <w:rsid w:val="0003735F"/>
    <w:rsid w:val="00060690"/>
    <w:rsid w:val="000927EC"/>
    <w:rsid w:val="0009396A"/>
    <w:rsid w:val="000A736B"/>
    <w:rsid w:val="000B1223"/>
    <w:rsid w:val="000D6D51"/>
    <w:rsid w:val="000D7E24"/>
    <w:rsid w:val="000E0727"/>
    <w:rsid w:val="000F5A46"/>
    <w:rsid w:val="00107ECA"/>
    <w:rsid w:val="00120850"/>
    <w:rsid w:val="00135B6E"/>
    <w:rsid w:val="00135EC8"/>
    <w:rsid w:val="0013702B"/>
    <w:rsid w:val="001642B0"/>
    <w:rsid w:val="001F18D7"/>
    <w:rsid w:val="002132A5"/>
    <w:rsid w:val="002549D7"/>
    <w:rsid w:val="00270E07"/>
    <w:rsid w:val="00287A63"/>
    <w:rsid w:val="002A2635"/>
    <w:rsid w:val="002C085F"/>
    <w:rsid w:val="002C3270"/>
    <w:rsid w:val="002D5B5F"/>
    <w:rsid w:val="002E0DFA"/>
    <w:rsid w:val="002E240B"/>
    <w:rsid w:val="002F0DB8"/>
    <w:rsid w:val="002F7821"/>
    <w:rsid w:val="00301EAD"/>
    <w:rsid w:val="00312455"/>
    <w:rsid w:val="00371E9A"/>
    <w:rsid w:val="0039268B"/>
    <w:rsid w:val="003D15E4"/>
    <w:rsid w:val="003D534B"/>
    <w:rsid w:val="003E39FD"/>
    <w:rsid w:val="00472B63"/>
    <w:rsid w:val="004853FD"/>
    <w:rsid w:val="00495117"/>
    <w:rsid w:val="004E1AF4"/>
    <w:rsid w:val="004F3A54"/>
    <w:rsid w:val="005200F1"/>
    <w:rsid w:val="005217F8"/>
    <w:rsid w:val="005F019F"/>
    <w:rsid w:val="006069B7"/>
    <w:rsid w:val="00611FDE"/>
    <w:rsid w:val="006328FF"/>
    <w:rsid w:val="006512E2"/>
    <w:rsid w:val="006525A2"/>
    <w:rsid w:val="006655C7"/>
    <w:rsid w:val="00677BAE"/>
    <w:rsid w:val="00680901"/>
    <w:rsid w:val="006B4AF8"/>
    <w:rsid w:val="00700BED"/>
    <w:rsid w:val="007121DC"/>
    <w:rsid w:val="0072271B"/>
    <w:rsid w:val="00743DFF"/>
    <w:rsid w:val="007632C2"/>
    <w:rsid w:val="00803A5A"/>
    <w:rsid w:val="008042B4"/>
    <w:rsid w:val="008871A5"/>
    <w:rsid w:val="0089496F"/>
    <w:rsid w:val="008A0690"/>
    <w:rsid w:val="008A3794"/>
    <w:rsid w:val="008E660D"/>
    <w:rsid w:val="00903F78"/>
    <w:rsid w:val="00920614"/>
    <w:rsid w:val="00921436"/>
    <w:rsid w:val="0095411A"/>
    <w:rsid w:val="00973EC6"/>
    <w:rsid w:val="00977043"/>
    <w:rsid w:val="0097731B"/>
    <w:rsid w:val="009966E7"/>
    <w:rsid w:val="009A7CAE"/>
    <w:rsid w:val="009D2C6D"/>
    <w:rsid w:val="00A272E1"/>
    <w:rsid w:val="00A30598"/>
    <w:rsid w:val="00A5314C"/>
    <w:rsid w:val="00A56D26"/>
    <w:rsid w:val="00A73E45"/>
    <w:rsid w:val="00A84938"/>
    <w:rsid w:val="00A93886"/>
    <w:rsid w:val="00A94BF4"/>
    <w:rsid w:val="00B16021"/>
    <w:rsid w:val="00B84978"/>
    <w:rsid w:val="00B90BB9"/>
    <w:rsid w:val="00BC4061"/>
    <w:rsid w:val="00C27D5F"/>
    <w:rsid w:val="00C41939"/>
    <w:rsid w:val="00CB65D5"/>
    <w:rsid w:val="00CE22AD"/>
    <w:rsid w:val="00DD1FB9"/>
    <w:rsid w:val="00DE2C6D"/>
    <w:rsid w:val="00E3136C"/>
    <w:rsid w:val="00E52DF6"/>
    <w:rsid w:val="00EA74D1"/>
    <w:rsid w:val="00ED0769"/>
    <w:rsid w:val="00EE34E5"/>
    <w:rsid w:val="00EF2AFB"/>
    <w:rsid w:val="00F13657"/>
    <w:rsid w:val="00F606A1"/>
    <w:rsid w:val="00F65A86"/>
    <w:rsid w:val="00F74480"/>
    <w:rsid w:val="00FD3F0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A6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D7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Leonardo Oliveira Andrade</cp:lastModifiedBy>
  <cp:revision>4</cp:revision>
  <cp:lastPrinted>2025-07-02T12:22:00Z</cp:lastPrinted>
  <dcterms:created xsi:type="dcterms:W3CDTF">2025-06-30T15:04:00Z</dcterms:created>
  <dcterms:modified xsi:type="dcterms:W3CDTF">2025-07-02T12:22:00Z</dcterms:modified>
</cp:coreProperties>
</file>