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7E0DA5">
      <w:pPr>
        <w:spacing w:before="24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9E4577" w:rsidRDefault="009E4577" w:rsidP="007E0DA5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30E7965A" w:rsidR="009E4577" w:rsidRPr="009E4577" w:rsidRDefault="009E4577" w:rsidP="007E0DA5">
      <w:pPr>
        <w:spacing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 w:rsidR="00D111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386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7A07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A1B30C" w14:textId="17ABC800" w:rsidR="009E4577" w:rsidRPr="009E4577" w:rsidRDefault="009E4577" w:rsidP="007E0D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11179">
        <w:rPr>
          <w:rFonts w:ascii="Times New Roman" w:hAnsi="Times New Roman" w:cs="Times New Roman"/>
          <w:color w:val="000000" w:themeColor="text1"/>
          <w:sz w:val="24"/>
          <w:szCs w:val="24"/>
        </w:rPr>
        <w:t>CHEFE DO PODER EXECUTIVO</w:t>
      </w:r>
    </w:p>
    <w:p w14:paraId="275E94A0" w14:textId="1ECB8220" w:rsidR="009E4577" w:rsidRPr="009E4577" w:rsidRDefault="009E4577" w:rsidP="007E0D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11179">
        <w:rPr>
          <w:rFonts w:ascii="Times New Roman" w:hAnsi="Times New Roman" w:cs="Times New Roman"/>
          <w:color w:val="000000" w:themeColor="text1"/>
          <w:sz w:val="24"/>
          <w:szCs w:val="24"/>
        </w:rPr>
        <w:t>8 DE MAIO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7A073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45A8B36C" w:rsidR="009E4577" w:rsidRPr="009E4577" w:rsidRDefault="009E4577" w:rsidP="007E0D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11179">
        <w:rPr>
          <w:rFonts w:ascii="Times New Roman" w:hAnsi="Times New Roman" w:cs="Times New Roman"/>
          <w:color w:val="000000" w:themeColor="text1"/>
          <w:sz w:val="24"/>
          <w:szCs w:val="24"/>
        </w:rPr>
        <w:t>8573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A073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7E0DA5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0AE945FE" w:rsidR="009E4577" w:rsidRPr="009E4577" w:rsidRDefault="009E4577" w:rsidP="007E0DA5">
      <w:pPr>
        <w:spacing w:after="48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9E4577" w:rsidRDefault="009E4577" w:rsidP="007E0D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7E0D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7E0D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7E0DA5">
      <w:pPr>
        <w:spacing w:after="24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9E4577" w:rsidRDefault="009E4577" w:rsidP="007E0DA5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RELATÓRIO</w:t>
      </w:r>
    </w:p>
    <w:p w14:paraId="255F3FB4" w14:textId="7DAD39A1" w:rsidR="009E4577" w:rsidRPr="009E4577" w:rsidRDefault="009E4577" w:rsidP="007E0D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ramita nesta comissão,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rdinária nº </w:t>
      </w:r>
      <w:r w:rsidR="00EC5762">
        <w:rPr>
          <w:rFonts w:ascii="Times New Roman" w:hAnsi="Times New Roman" w:cs="Times New Roman"/>
          <w:color w:val="000000" w:themeColor="text1"/>
          <w:sz w:val="24"/>
          <w:szCs w:val="24"/>
        </w:rPr>
        <w:t>386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A073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, que “</w:t>
      </w:r>
      <w:r w:rsidR="00D11179" w:rsidRPr="00D11179">
        <w:rPr>
          <w:rFonts w:ascii="Times New Roman" w:hAnsi="Times New Roman" w:cs="Times New Roman"/>
          <w:shd w:val="clear" w:color="auto" w:fill="FFFFFF"/>
        </w:rPr>
        <w:t>AUTORIZA A ADESÃO DO MUNICÍPIO DE SETE LAGOAS AO CONSÓRCIO INTERMUNICIPAL MULTIFINALITÁRIO DA REGIÃO CENTRAL DE MINAS GERAIS – CIMCENTRAL, E DÁ OUTRAS PROVIDÊNCIAS</w:t>
      </w:r>
      <w:r w:rsidRPr="00D11179">
        <w:rPr>
          <w:rFonts w:ascii="Times New Roman" w:hAnsi="Times New Roman" w:cs="Times New Roman"/>
          <w:sz w:val="24"/>
          <w:szCs w:val="24"/>
        </w:rPr>
        <w:t>.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21B903D" w14:textId="77777777" w:rsidR="009E4577" w:rsidRPr="009E4577" w:rsidRDefault="009E4577" w:rsidP="007E0DA5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968AD" w14:textId="77777777" w:rsidR="009E4577" w:rsidRPr="009E4577" w:rsidRDefault="009E4577" w:rsidP="007E0DA5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FUNDAMENTAÇÃO</w:t>
      </w:r>
    </w:p>
    <w:p w14:paraId="7AB179A1" w14:textId="1ABB7D35" w:rsidR="009E4577" w:rsidRPr="009E4577" w:rsidRDefault="009E4577" w:rsidP="007E0DA5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versada no projeto em análise encontra-se adequada às competências outorgadas regimentalmente à Comissão Permanente de Saúde, Assistência Social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Meio Ambiente, especificamente observado o disposto no artigo 83, § 5º do Regimento Interno.</w:t>
      </w:r>
    </w:p>
    <w:p w14:paraId="3E8E8ACB" w14:textId="4159526A" w:rsidR="00EC5762" w:rsidRDefault="009E4577" w:rsidP="007E0DA5">
      <w:pPr>
        <w:pStyle w:val="NormalWeb"/>
        <w:spacing w:before="120" w:beforeAutospacing="0" w:after="120" w:afterAutospacing="0" w:line="360" w:lineRule="auto"/>
        <w:ind w:firstLine="709"/>
        <w:jc w:val="both"/>
      </w:pPr>
      <w:r w:rsidRPr="009E4577">
        <w:rPr>
          <w:color w:val="000000" w:themeColor="text1"/>
        </w:rPr>
        <w:lastRenderedPageBreak/>
        <w:t xml:space="preserve"> </w:t>
      </w:r>
      <w:r>
        <w:rPr>
          <w:color w:val="000000" w:themeColor="text1"/>
        </w:rPr>
        <w:t xml:space="preserve"> </w:t>
      </w:r>
      <w:r w:rsidR="00EC5762">
        <w:t xml:space="preserve">O presente projeto tem como objetivo a análise do projeto de lei de iniciativa do Chefe do Poder Executivo do Município de Sete Lagoas, que visa autorizar a adesão do município ao </w:t>
      </w:r>
      <w:r w:rsidR="00EC5762" w:rsidRPr="00EC5762">
        <w:rPr>
          <w:rStyle w:val="Forte"/>
        </w:rPr>
        <w:t xml:space="preserve">Consórcio Intermunicipal </w:t>
      </w:r>
      <w:proofErr w:type="spellStart"/>
      <w:r w:rsidR="00EC5762" w:rsidRPr="00EC5762">
        <w:rPr>
          <w:rStyle w:val="Forte"/>
        </w:rPr>
        <w:t>Multifinalitário</w:t>
      </w:r>
      <w:proofErr w:type="spellEnd"/>
      <w:r w:rsidR="00EC5762" w:rsidRPr="00EC5762">
        <w:rPr>
          <w:rStyle w:val="Forte"/>
        </w:rPr>
        <w:t xml:space="preserve"> da Região Central de Minas Gerais – CIMCENTRAL</w:t>
      </w:r>
      <w:r w:rsidR="00EC5762">
        <w:t>. Trata-se de uma iniciativa que busca promover a cooperação entre entes federativos municipais, por meio da gestão associada de serviços públicos e da implementação de políticas públicas de forma conjunta, racionalizando recursos e aumentando a eficiência administrativa.</w:t>
      </w:r>
    </w:p>
    <w:p w14:paraId="7D6F75D1" w14:textId="04343766" w:rsidR="00EC5762" w:rsidRDefault="007E0DA5" w:rsidP="007E0DA5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 xml:space="preserve"> </w:t>
      </w:r>
      <w:r w:rsidR="00EC5762">
        <w:t>A Constituição Federal de 1988 assegura respaldo jurídico para a formação de consórcios públicos, reconhecendo-os como legítimos instrumentos de cooperação federativa. O artigo 23, parágrafo único, dispõe que é permitida a cooperação entre os entes federados para o exercício de competências comuns. Já o artigo 241 da Constituição Federal estabelece expressamente que a União, os Estados, o Distrito Federal e os Municípios poderão celebrar consórcios públicos e convênios para a realização de objetivos de interesse comum.</w:t>
      </w:r>
    </w:p>
    <w:p w14:paraId="3807DE98" w14:textId="77777777" w:rsidR="00EC5762" w:rsidRDefault="00EC5762" w:rsidP="007E0DA5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 xml:space="preserve">A </w:t>
      </w:r>
      <w:r w:rsidRPr="00EC5762">
        <w:rPr>
          <w:rStyle w:val="Forte"/>
          <w:b w:val="0"/>
          <w:bCs w:val="0"/>
        </w:rPr>
        <w:t>Lei Federal nº 11.107/2005 (Lei dos Consórcios Públicos)</w:t>
      </w:r>
      <w:r>
        <w:t xml:space="preserve"> regulamenta a celebração de consórcios públicos entre entes federativos, estabelecendo normas gerais sobre sua formação, organização, natureza jurídica, governança e funcionamento. Entre os requisitos essenciais está a </w:t>
      </w:r>
      <w:r w:rsidRPr="00EC5762">
        <w:rPr>
          <w:rStyle w:val="Forte"/>
          <w:b w:val="0"/>
          <w:bCs w:val="0"/>
        </w:rPr>
        <w:t>autorização por lei específica de cada ente interessado</w:t>
      </w:r>
      <w:r w:rsidRPr="00EC5762">
        <w:t xml:space="preserve">, bem como a </w:t>
      </w:r>
      <w:r w:rsidRPr="00EC5762">
        <w:rPr>
          <w:rStyle w:val="Forte"/>
          <w:b w:val="0"/>
          <w:bCs w:val="0"/>
        </w:rPr>
        <w:t>ratificação do protocolo de intenções</w:t>
      </w:r>
      <w:r>
        <w:t xml:space="preserve"> que rege o consórcio. A norma ainda permite que o consórcio adquira personalidade jurídica de direito público ou privado, com autonomia administrativa, orçamentária e financeira.</w:t>
      </w:r>
    </w:p>
    <w:p w14:paraId="20F336E0" w14:textId="77777777" w:rsidR="00EC5762" w:rsidRDefault="00EC5762" w:rsidP="007E0DA5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 xml:space="preserve">O </w:t>
      </w:r>
      <w:r w:rsidRPr="00EC5762">
        <w:rPr>
          <w:rStyle w:val="Forte"/>
          <w:b w:val="0"/>
          <w:bCs w:val="0"/>
        </w:rPr>
        <w:t>Decreto Federal nº 6.017/2007</w:t>
      </w:r>
      <w:r w:rsidRPr="00EC5762">
        <w:rPr>
          <w:b/>
          <w:bCs/>
        </w:rPr>
        <w:t>,</w:t>
      </w:r>
      <w:r>
        <w:t xml:space="preserve"> que regulamenta a referida lei, dispõe sobre os procedimentos formais para a constituição e operacionalização dos consórcios públicos, detalhando aspectos como a celebração do contrato de consórcio, a estrutura de governança, as formas de financiamento e o controle externo e interno das atividades consorciadas.</w:t>
      </w:r>
    </w:p>
    <w:p w14:paraId="2D8CF80F" w14:textId="77777777" w:rsidR="00EC5762" w:rsidRDefault="00EC5762" w:rsidP="007E0DA5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 xml:space="preserve">A </w:t>
      </w:r>
      <w:r w:rsidRPr="00EC5762">
        <w:rPr>
          <w:rStyle w:val="Forte"/>
          <w:b w:val="0"/>
          <w:bCs w:val="0"/>
        </w:rPr>
        <w:t>Constituição do Estado de Minas Gerais</w:t>
      </w:r>
      <w:r>
        <w:t xml:space="preserve">, em seu artigo 160, também prevê a possibilidade de o Estado e os Municípios organizarem-se por meio de consórcios para o exercício de funções públicas comuns, estimulando a descentralização administrativa e o fortalecimento da cooperação </w:t>
      </w:r>
      <w:proofErr w:type="spellStart"/>
      <w:r>
        <w:t>interfederativa</w:t>
      </w:r>
      <w:proofErr w:type="spellEnd"/>
      <w:r>
        <w:t>.</w:t>
      </w:r>
    </w:p>
    <w:p w14:paraId="14151245" w14:textId="77777777" w:rsidR="00EC5762" w:rsidRDefault="00EC5762" w:rsidP="007E0DA5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lastRenderedPageBreak/>
        <w:t xml:space="preserve">Em âmbito local, a proposta está em conformidade com </w:t>
      </w:r>
      <w:r w:rsidRPr="007E0DA5">
        <w:t>a</w:t>
      </w:r>
      <w:r w:rsidRPr="00EC5762">
        <w:rPr>
          <w:b/>
          <w:bCs/>
        </w:rPr>
        <w:t xml:space="preserve"> </w:t>
      </w:r>
      <w:r w:rsidRPr="00EC5762">
        <w:rPr>
          <w:rStyle w:val="Forte"/>
          <w:b w:val="0"/>
          <w:bCs w:val="0"/>
        </w:rPr>
        <w:t>Lei Orgânica do Município de Sete Lagoas</w:t>
      </w:r>
      <w:r>
        <w:t>, que admite a celebração de consórcios, convênios e outros instrumentos de cooperação com entes públicos, desde que haja prévia autorização legislativa.</w:t>
      </w:r>
    </w:p>
    <w:p w14:paraId="174F6CE8" w14:textId="4CFDF7F1" w:rsidR="00B32443" w:rsidRPr="00EC5762" w:rsidRDefault="00EC5762" w:rsidP="007E0DA5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Assim, observa-se que o projeto de lei que autoriza a adesão do Município de Sete Lagoas ao CIMCENTRAL atende plenamente às exigências constitucionais e legais, tanto no âmbito federal quanto estadual e municipal. A participação no consórcio proporcionará maior eficiência na prestação dos serviços públicos, especialmente em áreas de interesse comum entre os municípios da região, com ganhos significativos em escala, economia de recursos e qualidade na gestão.</w:t>
      </w:r>
    </w:p>
    <w:p w14:paraId="5AD7CD1C" w14:textId="543BC636" w:rsidR="009E4577" w:rsidRPr="009E4577" w:rsidRDefault="009E4577" w:rsidP="007E0D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EC57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386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7A073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496B2" w14:textId="77777777" w:rsidR="009E4577" w:rsidRPr="009E4577" w:rsidRDefault="009E4577" w:rsidP="007E0D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5F73E" w14:textId="7AE1428B" w:rsidR="009E4577" w:rsidRPr="009E4577" w:rsidRDefault="007579EB" w:rsidP="007E0DA5">
      <w:pPr>
        <w:spacing w:after="24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3D15DC5A">
            <wp:simplePos x="0" y="0"/>
            <wp:positionH relativeFrom="margin">
              <wp:posOffset>1134800</wp:posOffset>
            </wp:positionH>
            <wp:positionV relativeFrom="paragraph">
              <wp:posOffset>4362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EC57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7A073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EC5762">
        <w:rPr>
          <w:rFonts w:ascii="Times New Roman" w:hAnsi="Times New Roman" w:cs="Times New Roman"/>
          <w:color w:val="000000" w:themeColor="text1"/>
          <w:sz w:val="24"/>
          <w:szCs w:val="24"/>
        </w:rPr>
        <w:t>aio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9AD16D" w14:textId="765375F6" w:rsidR="009E4577" w:rsidRPr="009E4577" w:rsidRDefault="009E4577" w:rsidP="007E0DA5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B12E03" w14:textId="1DE0DAF5" w:rsidR="002212C0" w:rsidRDefault="002212C0" w:rsidP="007E0DA5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36D07" w14:textId="611427EF" w:rsidR="002212C0" w:rsidRDefault="002212C0" w:rsidP="007E0DA5">
      <w:pPr>
        <w:spacing w:after="12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11C83" w14:textId="2B44DAB6" w:rsidR="009E4577" w:rsidRPr="009E4577" w:rsidRDefault="009E4577" w:rsidP="007E0D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31194718" w14:textId="3C62CED0" w:rsidR="007E0DA5" w:rsidRDefault="007E0DA5" w:rsidP="007E0D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A4E418" w14:textId="7677D31C" w:rsidR="007E0DA5" w:rsidRDefault="007E0DA5" w:rsidP="007E0DA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D0E57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6DEAD254" wp14:editId="6493D5C7">
            <wp:extent cx="1420495" cy="71310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25BF25C9" w:rsidR="002212C0" w:rsidRPr="00B40879" w:rsidRDefault="009E4577" w:rsidP="007E0DA5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4393B03D" w14:textId="54422375" w:rsidR="005D068D" w:rsidRDefault="002212C0" w:rsidP="007E0D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  Vogal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</w:p>
    <w:sectPr w:rsidR="005D068D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216E" w14:textId="77777777" w:rsidR="009C0CEB" w:rsidRDefault="009C0CEB" w:rsidP="00C07C7E">
      <w:pPr>
        <w:spacing w:after="0" w:line="240" w:lineRule="auto"/>
      </w:pPr>
      <w:r>
        <w:separator/>
      </w:r>
    </w:p>
  </w:endnote>
  <w:endnote w:type="continuationSeparator" w:id="0">
    <w:p w14:paraId="25357675" w14:textId="77777777" w:rsidR="009C0CEB" w:rsidRDefault="009C0CEB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A9E3" w14:textId="77777777" w:rsidR="009C0CEB" w:rsidRDefault="009C0CEB" w:rsidP="00C07C7E">
      <w:pPr>
        <w:spacing w:after="0" w:line="240" w:lineRule="auto"/>
      </w:pPr>
      <w:r>
        <w:separator/>
      </w:r>
    </w:p>
  </w:footnote>
  <w:footnote w:type="continuationSeparator" w:id="0">
    <w:p w14:paraId="7EE56A13" w14:textId="77777777" w:rsidR="009C0CEB" w:rsidRDefault="009C0CEB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D4C44"/>
    <w:rsid w:val="000F21DC"/>
    <w:rsid w:val="001038C4"/>
    <w:rsid w:val="001155C7"/>
    <w:rsid w:val="00134FDA"/>
    <w:rsid w:val="00143DB7"/>
    <w:rsid w:val="001E19E3"/>
    <w:rsid w:val="001E2248"/>
    <w:rsid w:val="001E7A89"/>
    <w:rsid w:val="001F2FD1"/>
    <w:rsid w:val="002212C0"/>
    <w:rsid w:val="00224FC1"/>
    <w:rsid w:val="0023190B"/>
    <w:rsid w:val="0025102B"/>
    <w:rsid w:val="002828CD"/>
    <w:rsid w:val="00285CE8"/>
    <w:rsid w:val="00293310"/>
    <w:rsid w:val="0029510C"/>
    <w:rsid w:val="00296F2E"/>
    <w:rsid w:val="002F64FB"/>
    <w:rsid w:val="002F6F9B"/>
    <w:rsid w:val="00313AA1"/>
    <w:rsid w:val="00383D6A"/>
    <w:rsid w:val="00396179"/>
    <w:rsid w:val="003A54AB"/>
    <w:rsid w:val="003B318A"/>
    <w:rsid w:val="003C19F0"/>
    <w:rsid w:val="003C747F"/>
    <w:rsid w:val="003E399A"/>
    <w:rsid w:val="00423210"/>
    <w:rsid w:val="00471775"/>
    <w:rsid w:val="00483171"/>
    <w:rsid w:val="004A2BD4"/>
    <w:rsid w:val="004C16E1"/>
    <w:rsid w:val="004F15A5"/>
    <w:rsid w:val="005915F8"/>
    <w:rsid w:val="005A7BCC"/>
    <w:rsid w:val="005D068D"/>
    <w:rsid w:val="005E4FF9"/>
    <w:rsid w:val="00610624"/>
    <w:rsid w:val="00623612"/>
    <w:rsid w:val="006423E8"/>
    <w:rsid w:val="00685AF9"/>
    <w:rsid w:val="00691BD7"/>
    <w:rsid w:val="006A01D9"/>
    <w:rsid w:val="00726415"/>
    <w:rsid w:val="00752760"/>
    <w:rsid w:val="007539FA"/>
    <w:rsid w:val="007579EB"/>
    <w:rsid w:val="00792226"/>
    <w:rsid w:val="007A0736"/>
    <w:rsid w:val="007A2584"/>
    <w:rsid w:val="007A6C1D"/>
    <w:rsid w:val="007D489E"/>
    <w:rsid w:val="007E0DA5"/>
    <w:rsid w:val="007F2897"/>
    <w:rsid w:val="00803062"/>
    <w:rsid w:val="008261E6"/>
    <w:rsid w:val="00836C1D"/>
    <w:rsid w:val="0084699C"/>
    <w:rsid w:val="008E01DD"/>
    <w:rsid w:val="008E5E5D"/>
    <w:rsid w:val="008F12D7"/>
    <w:rsid w:val="00922A37"/>
    <w:rsid w:val="0092738C"/>
    <w:rsid w:val="009C0CEB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5207"/>
    <w:rsid w:val="00A82AE8"/>
    <w:rsid w:val="00A83EE6"/>
    <w:rsid w:val="00A914FB"/>
    <w:rsid w:val="00AB3481"/>
    <w:rsid w:val="00AD06EE"/>
    <w:rsid w:val="00AE65B5"/>
    <w:rsid w:val="00B0112A"/>
    <w:rsid w:val="00B0337D"/>
    <w:rsid w:val="00B117C0"/>
    <w:rsid w:val="00B261B3"/>
    <w:rsid w:val="00B32443"/>
    <w:rsid w:val="00B40879"/>
    <w:rsid w:val="00B4256B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43EB7"/>
    <w:rsid w:val="00C65EF1"/>
    <w:rsid w:val="00C85242"/>
    <w:rsid w:val="00C941DB"/>
    <w:rsid w:val="00CA25B0"/>
    <w:rsid w:val="00CB3162"/>
    <w:rsid w:val="00D00666"/>
    <w:rsid w:val="00D11179"/>
    <w:rsid w:val="00D117F7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049C8"/>
    <w:rsid w:val="00E26765"/>
    <w:rsid w:val="00E345D6"/>
    <w:rsid w:val="00E56EC8"/>
    <w:rsid w:val="00E70DB0"/>
    <w:rsid w:val="00E84FC7"/>
    <w:rsid w:val="00E91AE4"/>
    <w:rsid w:val="00E92806"/>
    <w:rsid w:val="00E948D3"/>
    <w:rsid w:val="00EC5762"/>
    <w:rsid w:val="00F27BAC"/>
    <w:rsid w:val="00F52F7F"/>
    <w:rsid w:val="00F54284"/>
    <w:rsid w:val="00F702FA"/>
    <w:rsid w:val="00F75224"/>
    <w:rsid w:val="00FD58B3"/>
    <w:rsid w:val="00FE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C5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2</cp:revision>
  <cp:lastPrinted>2025-02-24T20:24:00Z</cp:lastPrinted>
  <dcterms:created xsi:type="dcterms:W3CDTF">2025-05-30T16:35:00Z</dcterms:created>
  <dcterms:modified xsi:type="dcterms:W3CDTF">2025-05-30T16:35:00Z</dcterms:modified>
</cp:coreProperties>
</file>