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CA614" w14:textId="720A9CFC" w:rsidR="001E116B" w:rsidRDefault="001E116B" w:rsidP="001E116B">
      <w:pPr>
        <w:spacing w:line="288" w:lineRule="auto"/>
        <w:ind w:right="3399"/>
        <w:rPr>
          <w:b/>
          <w:spacing w:val="72"/>
          <w:w w:val="110"/>
          <w:u w:val="thick"/>
        </w:rPr>
      </w:pPr>
      <w:bookmarkStart w:id="0" w:name="_Hlk146097230"/>
      <w:r>
        <w:rPr>
          <w:b/>
          <w:w w:val="110"/>
          <w:u w:val="thick"/>
        </w:rPr>
        <w:t>Parecer</w:t>
      </w:r>
      <w:r>
        <w:rPr>
          <w:b/>
          <w:spacing w:val="40"/>
          <w:w w:val="110"/>
          <w:u w:val="thick"/>
        </w:rPr>
        <w:t xml:space="preserve"> </w:t>
      </w:r>
      <w:r>
        <w:rPr>
          <w:b/>
          <w:w w:val="110"/>
          <w:u w:val="thick"/>
        </w:rPr>
        <w:t>Jurídico</w:t>
      </w:r>
      <w:r>
        <w:rPr>
          <w:b/>
          <w:spacing w:val="40"/>
          <w:w w:val="110"/>
          <w:u w:val="thick"/>
        </w:rPr>
        <w:t xml:space="preserve"> </w:t>
      </w:r>
      <w:r>
        <w:rPr>
          <w:b/>
          <w:w w:val="110"/>
          <w:u w:val="thick"/>
        </w:rPr>
        <w:t>nº.</w:t>
      </w:r>
      <w:r>
        <w:rPr>
          <w:b/>
          <w:spacing w:val="40"/>
          <w:w w:val="110"/>
          <w:u w:val="thick"/>
        </w:rPr>
        <w:t xml:space="preserve"> PGLWG </w:t>
      </w:r>
      <w:r w:rsidR="007921DD">
        <w:rPr>
          <w:b/>
          <w:w w:val="110"/>
          <w:u w:val="thick"/>
        </w:rPr>
        <w:t>52</w:t>
      </w:r>
      <w:r>
        <w:rPr>
          <w:b/>
          <w:w w:val="110"/>
          <w:u w:val="thick"/>
        </w:rPr>
        <w:t>/2025</w:t>
      </w:r>
      <w:r>
        <w:rPr>
          <w:b/>
          <w:spacing w:val="72"/>
          <w:w w:val="110"/>
          <w:u w:val="thick"/>
        </w:rPr>
        <w:t>,</w:t>
      </w:r>
    </w:p>
    <w:p w14:paraId="7D8C1545" w14:textId="22C81B8B" w:rsidR="001E116B" w:rsidRDefault="001E116B" w:rsidP="001E116B">
      <w:pPr>
        <w:spacing w:line="288" w:lineRule="auto"/>
        <w:ind w:right="3399"/>
      </w:pPr>
      <w:r>
        <w:rPr>
          <w:b/>
          <w:w w:val="110"/>
        </w:rPr>
        <w:t xml:space="preserve">Referência: </w:t>
      </w:r>
      <w:r>
        <w:rPr>
          <w:w w:val="110"/>
        </w:rPr>
        <w:t xml:space="preserve">Projeto de Lei Ordinária nº </w:t>
      </w:r>
      <w:r w:rsidR="007921DD">
        <w:rPr>
          <w:w w:val="110"/>
        </w:rPr>
        <w:t>365</w:t>
      </w:r>
      <w:r>
        <w:rPr>
          <w:w w:val="110"/>
        </w:rPr>
        <w:t>/2025</w:t>
      </w:r>
    </w:p>
    <w:p w14:paraId="764B3DC5" w14:textId="068D9A84" w:rsidR="000D4ADA" w:rsidRDefault="001E116B" w:rsidP="00490976">
      <w:pPr>
        <w:spacing w:before="27"/>
        <w:rPr>
          <w:w w:val="115"/>
        </w:rPr>
      </w:pPr>
      <w:r>
        <w:rPr>
          <w:b/>
          <w:w w:val="115"/>
        </w:rPr>
        <w:t>Autoria:</w:t>
      </w:r>
      <w:r>
        <w:rPr>
          <w:b/>
          <w:spacing w:val="-1"/>
          <w:w w:val="115"/>
        </w:rPr>
        <w:t xml:space="preserve"> </w:t>
      </w:r>
      <w:r w:rsidR="007921DD">
        <w:rPr>
          <w:w w:val="115"/>
        </w:rPr>
        <w:t>CHEFE DO PODER EXECUTIVO- PREFEITO</w:t>
      </w:r>
    </w:p>
    <w:p w14:paraId="62DB8D05" w14:textId="77777777" w:rsidR="00490976" w:rsidRDefault="00490976" w:rsidP="00490976">
      <w:pPr>
        <w:spacing w:before="27"/>
        <w:rPr>
          <w:rFonts w:ascii="Arial Narrow" w:hAnsi="Arial Narrow" w:cs="Arial"/>
          <w:b/>
          <w:color w:val="000000"/>
          <w:lang w:eastAsia="ar-SA"/>
        </w:rPr>
      </w:pPr>
    </w:p>
    <w:p w14:paraId="52D3F5EC" w14:textId="1E638E7D" w:rsidR="001E116B" w:rsidRDefault="001E116B" w:rsidP="001E116B">
      <w:pPr>
        <w:tabs>
          <w:tab w:val="left" w:pos="0"/>
          <w:tab w:val="left" w:pos="1821"/>
        </w:tabs>
        <w:spacing w:line="360" w:lineRule="auto"/>
        <w:jc w:val="center"/>
        <w:rPr>
          <w:rFonts w:ascii="Arial Narrow" w:hAnsi="Arial Narrow" w:cs="Arial"/>
          <w:b/>
          <w:color w:val="000000"/>
          <w:lang w:eastAsia="ar-SA"/>
        </w:rPr>
      </w:pPr>
      <w:r w:rsidRPr="001813EE">
        <w:rPr>
          <w:rFonts w:ascii="Arial Narrow" w:hAnsi="Arial Narrow" w:cs="Arial"/>
          <w:b/>
          <w:color w:val="000000"/>
          <w:lang w:eastAsia="ar-SA"/>
        </w:rPr>
        <w:t>PARECER</w:t>
      </w:r>
    </w:p>
    <w:p w14:paraId="3F8DA507" w14:textId="77777777" w:rsidR="000D4ADA" w:rsidRPr="00F44654" w:rsidRDefault="000D4ADA" w:rsidP="000D4ADA">
      <w:pPr>
        <w:jc w:val="both"/>
        <w:rPr>
          <w:rFonts w:ascii="Arial" w:hAnsi="Arial" w:cs="Arial"/>
        </w:rPr>
      </w:pPr>
      <w:r w:rsidRPr="00F44654">
        <w:rPr>
          <w:rFonts w:ascii="Arial" w:hAnsi="Arial" w:cs="Arial"/>
        </w:rPr>
        <w:t>ANÁLISE JURÍDICA</w:t>
      </w:r>
    </w:p>
    <w:p w14:paraId="3800DE20" w14:textId="77777777" w:rsidR="000D4ADA" w:rsidRDefault="000D4ADA" w:rsidP="000D4ADA">
      <w:pPr>
        <w:jc w:val="both"/>
        <w:rPr>
          <w:rFonts w:ascii="Arial" w:hAnsi="Arial" w:cs="Arial"/>
        </w:rPr>
      </w:pPr>
    </w:p>
    <w:p w14:paraId="145650A3" w14:textId="77777777" w:rsidR="000D4ADA" w:rsidRPr="00491420" w:rsidRDefault="000D4ADA" w:rsidP="000D4ADA">
      <w:pPr>
        <w:pStyle w:val="Corpodetexto"/>
        <w:spacing w:line="309" w:lineRule="auto"/>
        <w:ind w:left="121" w:right="318" w:firstLine="1258"/>
        <w:jc w:val="both"/>
        <w:rPr>
          <w:rFonts w:ascii="Arial" w:hAnsi="Arial" w:cs="Arial"/>
          <w:w w:val="110"/>
        </w:rPr>
      </w:pPr>
      <w:r w:rsidRPr="00491420">
        <w:rPr>
          <w:rFonts w:ascii="Arial" w:hAnsi="Arial" w:cs="Arial"/>
          <w:w w:val="110"/>
        </w:rPr>
        <w:t>Inicialmente, importante destacar que o exame da Assessoria Jurídica se cinge tão-somente à matéria jurídica envolvida, nos termos da sua competência legal, tendo por base os documentos juntados,</w:t>
      </w:r>
      <w:r>
        <w:rPr>
          <w:rFonts w:ascii="Arial" w:hAnsi="Arial" w:cs="Arial"/>
          <w:w w:val="110"/>
        </w:rPr>
        <w:t xml:space="preserve"> e a legislação vigente em nosso ordenamento jurídico pátrio,</w:t>
      </w:r>
      <w:r w:rsidRPr="00491420">
        <w:rPr>
          <w:rFonts w:ascii="Arial" w:hAnsi="Arial" w:cs="Arial"/>
          <w:w w:val="110"/>
        </w:rPr>
        <w:t xml:space="preserve"> razão pela qual não se incursiona em discussões de ordem técnica, bem como em questões que envolvam juízo de mérito sobre o tema trazido à apreciação, cuja análise é de exclusiva responsabilidade dos setores competentes.</w:t>
      </w:r>
    </w:p>
    <w:p w14:paraId="4E603CFA" w14:textId="77777777" w:rsidR="000D4ADA" w:rsidRDefault="000D4ADA" w:rsidP="000D4ADA">
      <w:pPr>
        <w:pStyle w:val="Corpodetexto"/>
        <w:spacing w:line="309" w:lineRule="auto"/>
        <w:ind w:left="121" w:right="318" w:firstLine="1258"/>
        <w:jc w:val="both"/>
        <w:rPr>
          <w:rFonts w:ascii="Arial" w:hAnsi="Arial" w:cs="Arial"/>
          <w:w w:val="110"/>
        </w:rPr>
      </w:pPr>
      <w:r w:rsidRPr="00491420">
        <w:rPr>
          <w:rFonts w:ascii="Arial" w:hAnsi="Arial" w:cs="Arial"/>
          <w:w w:val="110"/>
        </w:rPr>
        <w:t>Portanto, passaremos à análise.</w:t>
      </w:r>
    </w:p>
    <w:p w14:paraId="0A4501C9" w14:textId="3383523C" w:rsidR="006C349E" w:rsidRDefault="00490976" w:rsidP="000D4ADA">
      <w:pPr>
        <w:pStyle w:val="Corpodetexto"/>
        <w:ind w:left="285" w:right="30"/>
        <w:jc w:val="both"/>
        <w:rPr>
          <w:rFonts w:ascii="Arial" w:hAnsi="Arial" w:cs="Arial"/>
        </w:rPr>
      </w:pPr>
      <w:r>
        <w:rPr>
          <w:rFonts w:ascii="Arial" w:hAnsi="Arial" w:cs="Arial"/>
          <w:w w:val="110"/>
        </w:rPr>
        <w:t xml:space="preserve">             </w:t>
      </w:r>
      <w:r w:rsidR="001E116B" w:rsidRPr="008D0645">
        <w:rPr>
          <w:rFonts w:ascii="Arial" w:hAnsi="Arial" w:cs="Arial"/>
        </w:rPr>
        <w:t xml:space="preserve">Vem para esta Procuradoria o projeto de lei nº </w:t>
      </w:r>
      <w:r w:rsidR="0027281A">
        <w:rPr>
          <w:rFonts w:ascii="Arial" w:hAnsi="Arial" w:cs="Arial"/>
        </w:rPr>
        <w:t>365</w:t>
      </w:r>
      <w:r w:rsidR="00FA0FCC">
        <w:rPr>
          <w:rFonts w:ascii="Arial" w:hAnsi="Arial" w:cs="Arial"/>
        </w:rPr>
        <w:t>/2025</w:t>
      </w:r>
      <w:r w:rsidR="001E116B" w:rsidRPr="008D0645">
        <w:rPr>
          <w:rFonts w:ascii="Arial" w:hAnsi="Arial" w:cs="Arial"/>
        </w:rPr>
        <w:t xml:space="preserve"> que “</w:t>
      </w:r>
      <w:r w:rsidR="007921DD">
        <w:rPr>
          <w:rFonts w:ascii="Arial" w:hAnsi="Arial" w:cs="Arial"/>
        </w:rPr>
        <w:t>DISPOE SOBRE A OUTORGA DE USO DE BENS PÚBLICOS A TERCEIROS NO MUNICIPIO DE SETE LAGOAS E DA OUTRAS PROVIDENCIA”</w:t>
      </w:r>
    </w:p>
    <w:p w14:paraId="46C7AC5E" w14:textId="77777777" w:rsidR="00B156E8" w:rsidRDefault="00B156E8" w:rsidP="00B156E8">
      <w:pPr>
        <w:pStyle w:val="Corpodetexto"/>
        <w:spacing w:before="1" w:line="314" w:lineRule="auto"/>
        <w:ind w:right="330"/>
        <w:jc w:val="both"/>
        <w:rPr>
          <w:rFonts w:ascii="Arial" w:hAnsi="Arial" w:cs="Arial"/>
          <w:w w:val="110"/>
        </w:rPr>
      </w:pPr>
    </w:p>
    <w:p w14:paraId="3E7268A9" w14:textId="77777777" w:rsidR="007921DD" w:rsidRDefault="007921DD" w:rsidP="007921DD">
      <w:pPr>
        <w:pStyle w:val="NormalWeb"/>
      </w:pPr>
      <w:r>
        <w:rPr>
          <w:rStyle w:val="Forte"/>
        </w:rPr>
        <w:t>Da competência e da iniciativa</w:t>
      </w:r>
    </w:p>
    <w:p w14:paraId="4625F22A" w14:textId="77777777" w:rsidR="007921DD" w:rsidRDefault="007921DD" w:rsidP="007921DD">
      <w:pPr>
        <w:pStyle w:val="NormalWeb"/>
        <w:jc w:val="both"/>
      </w:pPr>
      <w:r>
        <w:rPr>
          <w:rStyle w:val="Forte"/>
        </w:rPr>
        <w:t> </w:t>
      </w:r>
    </w:p>
    <w:p w14:paraId="3F73956D" w14:textId="77777777" w:rsidR="00B156E8" w:rsidRDefault="00B156E8" w:rsidP="00B156E8">
      <w:pPr>
        <w:pStyle w:val="Corpodetexto"/>
        <w:spacing w:before="1" w:line="314" w:lineRule="auto"/>
        <w:ind w:left="121" w:right="330" w:firstLine="1258"/>
        <w:jc w:val="both"/>
        <w:rPr>
          <w:rFonts w:ascii="Arial" w:hAnsi="Arial" w:cs="Arial"/>
          <w:w w:val="110"/>
        </w:rPr>
      </w:pPr>
    </w:p>
    <w:p w14:paraId="50383FCE" w14:textId="77777777" w:rsidR="00B156E8" w:rsidRPr="00F563DA" w:rsidRDefault="00B156E8" w:rsidP="00B156E8">
      <w:pPr>
        <w:pStyle w:val="Corpodetexto"/>
        <w:spacing w:before="1" w:line="314" w:lineRule="auto"/>
        <w:ind w:left="121" w:right="330" w:firstLine="1258"/>
        <w:jc w:val="both"/>
        <w:rPr>
          <w:rFonts w:ascii="Arial" w:hAnsi="Arial" w:cs="Arial"/>
          <w:w w:val="110"/>
        </w:rPr>
      </w:pPr>
      <w:r w:rsidRPr="00F563DA">
        <w:rPr>
          <w:rFonts w:ascii="Arial" w:hAnsi="Arial" w:cs="Arial"/>
          <w:w w:val="110"/>
        </w:rPr>
        <w:t xml:space="preserve">A Constituição Federal atribuiu aos Municípios a condição de ente da federação, atribuindo-lhes competências constitucionais, a destacar a de legislar sobre assuntos de interesse local, conforme o inciso I do art. 30, in </w:t>
      </w:r>
      <w:proofErr w:type="spellStart"/>
      <w:r w:rsidRPr="00F563DA">
        <w:rPr>
          <w:rFonts w:ascii="Arial" w:hAnsi="Arial" w:cs="Arial"/>
          <w:w w:val="110"/>
        </w:rPr>
        <w:t>verbis</w:t>
      </w:r>
      <w:proofErr w:type="spellEnd"/>
      <w:r w:rsidRPr="00F563DA">
        <w:rPr>
          <w:rFonts w:ascii="Arial" w:hAnsi="Arial" w:cs="Arial"/>
          <w:w w:val="110"/>
        </w:rPr>
        <w:t>:</w:t>
      </w:r>
    </w:p>
    <w:p w14:paraId="18F49289" w14:textId="77777777" w:rsidR="00B156E8" w:rsidRDefault="00B156E8" w:rsidP="00B156E8">
      <w:pPr>
        <w:pStyle w:val="Corpodetexto"/>
        <w:spacing w:before="1" w:line="314" w:lineRule="auto"/>
        <w:ind w:left="121" w:right="330" w:firstLine="1258"/>
        <w:jc w:val="both"/>
        <w:rPr>
          <w:rFonts w:ascii="Arial" w:hAnsi="Arial" w:cs="Arial"/>
          <w:w w:val="110"/>
        </w:rPr>
      </w:pPr>
    </w:p>
    <w:p w14:paraId="79A65D4B" w14:textId="77777777" w:rsidR="00B156E8" w:rsidRPr="008D0645" w:rsidRDefault="00B156E8" w:rsidP="00B156E8">
      <w:pPr>
        <w:pStyle w:val="Default"/>
        <w:ind w:left="3540"/>
      </w:pPr>
      <w:r w:rsidRPr="008D0645">
        <w:t>“Art. 30. Compete aos Municípios:</w:t>
      </w:r>
    </w:p>
    <w:p w14:paraId="7E560A0B" w14:textId="77777777" w:rsidR="00B156E8" w:rsidRDefault="00B156E8" w:rsidP="00B156E8">
      <w:pPr>
        <w:pStyle w:val="Default"/>
        <w:ind w:left="3540"/>
      </w:pPr>
      <w:r w:rsidRPr="008D0645">
        <w:t xml:space="preserve">I - </w:t>
      </w:r>
      <w:proofErr w:type="gramStart"/>
      <w:r w:rsidRPr="008D0645">
        <w:t>legislar</w:t>
      </w:r>
      <w:proofErr w:type="gramEnd"/>
      <w:r w:rsidRPr="008D0645">
        <w:t xml:space="preserve"> sobre assuntos de interesse local;</w:t>
      </w:r>
    </w:p>
    <w:p w14:paraId="45CC3551" w14:textId="77777777" w:rsidR="00B156E8" w:rsidRDefault="00B156E8" w:rsidP="00B156E8">
      <w:pPr>
        <w:pStyle w:val="Default"/>
        <w:ind w:left="3540"/>
      </w:pPr>
    </w:p>
    <w:p w14:paraId="46263EDD" w14:textId="28EE1097" w:rsidR="00B156E8" w:rsidRDefault="00B156E8" w:rsidP="00B156E8">
      <w:pPr>
        <w:jc w:val="both"/>
        <w:rPr>
          <w:rFonts w:ascii="Arial" w:hAnsi="Arial" w:cs="Arial"/>
          <w:w w:val="110"/>
        </w:rPr>
      </w:pPr>
      <w:r>
        <w:rPr>
          <w:rFonts w:ascii="Arial" w:hAnsi="Arial" w:cs="Arial"/>
          <w:w w:val="110"/>
        </w:rPr>
        <w:t xml:space="preserve">              </w:t>
      </w:r>
      <w:r w:rsidRPr="006E67D9">
        <w:rPr>
          <w:rFonts w:ascii="Arial" w:hAnsi="Arial" w:cs="Arial"/>
          <w:w w:val="110"/>
        </w:rPr>
        <w:t xml:space="preserve">A referido projeto de lei </w:t>
      </w:r>
      <w:r w:rsidR="007921DD">
        <w:rPr>
          <w:rFonts w:ascii="Arial" w:hAnsi="Arial" w:cs="Arial"/>
          <w:w w:val="110"/>
        </w:rPr>
        <w:t>365</w:t>
      </w:r>
      <w:r w:rsidRPr="006E67D9">
        <w:rPr>
          <w:rFonts w:ascii="Arial" w:hAnsi="Arial" w:cs="Arial"/>
          <w:w w:val="110"/>
        </w:rPr>
        <w:t>/2025, visa o melhor interessa da municipalidade, com base no artigo 30 da CF/88, bem como no artigo 35 da lei orgânica do município, que autoriza o município a legislar com relação a assuntos de interesse local</w:t>
      </w:r>
      <w:r>
        <w:rPr>
          <w:rFonts w:ascii="Arial" w:hAnsi="Arial" w:cs="Arial"/>
          <w:w w:val="110"/>
        </w:rPr>
        <w:t xml:space="preserve">. </w:t>
      </w:r>
    </w:p>
    <w:p w14:paraId="44468757" w14:textId="06232960" w:rsidR="00B156E8" w:rsidRDefault="007921DD" w:rsidP="00B156E8">
      <w:pPr>
        <w:pStyle w:val="Default"/>
        <w:ind w:left="3540"/>
      </w:pPr>
      <w:r>
        <w:br/>
      </w:r>
      <w:r>
        <w:rPr>
          <w:rStyle w:val="label"/>
        </w:rPr>
        <w:t>Art. 35</w:t>
      </w:r>
      <w:r>
        <w:t xml:space="preserve"> Compete, privativamente ao Município:</w:t>
      </w:r>
      <w:r>
        <w:br/>
      </w:r>
      <w:r>
        <w:lastRenderedPageBreak/>
        <w:br/>
        <w:t>I - emendar esta Lei Orgânica;</w:t>
      </w:r>
      <w:r>
        <w:br/>
      </w:r>
      <w:r>
        <w:br/>
      </w:r>
      <w:r w:rsidRPr="007921DD">
        <w:rPr>
          <w:b/>
          <w:bCs/>
        </w:rPr>
        <w:t>II - legislar sobre assuntos de interesse local;</w:t>
      </w:r>
      <w:r w:rsidRPr="007921DD">
        <w:rPr>
          <w:b/>
          <w:bCs/>
        </w:rPr>
        <w:br/>
      </w:r>
      <w:r>
        <w:br/>
        <w:t>III - suplementar a legislação federal e estadual no que couber;</w:t>
      </w:r>
      <w:r>
        <w:br/>
      </w:r>
      <w:r>
        <w:br/>
        <w:t>IV - instituir e arrecadar os tributos de sua competência e aplicar sua receita, sem prejuízo da obrigatoriedade de prestar contas e publicar balancetes;</w:t>
      </w:r>
      <w:r>
        <w:br/>
      </w:r>
      <w:r>
        <w:br/>
        <w:t>V - criar, organizar e suprimir distritos e subdistritos, observada a legislação estadual;</w:t>
      </w:r>
      <w:r>
        <w:br/>
      </w:r>
      <w:r>
        <w:br/>
      </w:r>
      <w:r w:rsidRPr="007921DD">
        <w:rPr>
          <w:b/>
          <w:bCs/>
        </w:rPr>
        <w:t>VI - organizar a estrutura administrativa local;</w:t>
      </w:r>
      <w:r w:rsidRPr="007921DD">
        <w:rPr>
          <w:b/>
          <w:bCs/>
        </w:rPr>
        <w:br/>
      </w:r>
      <w:r>
        <w:br/>
        <w:t>VII - organizar e prestar, diretamente ou sob regime de concessão ou permissão, os serviços públicos de interesse local, incluído o de transporte coletivo, que tem caráter essencial;</w:t>
      </w:r>
      <w:r>
        <w:br/>
      </w:r>
      <w:r>
        <w:br/>
        <w:t>VIII - promover adequado ordenamento territorial, mediante planejamento e controle do parcelamento, uso e ocupação do solo, a par de outras limitações urbanísticas, observadas as diretrizes do Plano Diretor;</w:t>
      </w:r>
      <w:r>
        <w:br/>
      </w:r>
      <w:r>
        <w:br/>
        <w:t>IX - organizar a política administrativa de interesse local, especialmente em matéria de saúde e higiene públicas, construção, trânsito e tráfego, plantas e animais nocivos e logradouros públicos.</w:t>
      </w:r>
    </w:p>
    <w:p w14:paraId="0DF6F8A8" w14:textId="77777777" w:rsidR="007921DD" w:rsidRPr="008D0645" w:rsidRDefault="007921DD" w:rsidP="00B156E8">
      <w:pPr>
        <w:pStyle w:val="Default"/>
        <w:ind w:left="3540"/>
      </w:pPr>
    </w:p>
    <w:p w14:paraId="60C2F363" w14:textId="79936142" w:rsidR="00B156E8" w:rsidRDefault="00B156E8" w:rsidP="00B156E8">
      <w:pPr>
        <w:spacing w:before="27"/>
        <w:rPr>
          <w:rFonts w:ascii="Arial" w:hAnsi="Arial" w:cs="Arial"/>
          <w:w w:val="110"/>
        </w:rPr>
      </w:pPr>
      <w:r w:rsidRPr="00087DC9">
        <w:rPr>
          <w:rFonts w:ascii="Arial" w:hAnsi="Arial" w:cs="Arial"/>
          <w:w w:val="110"/>
        </w:rPr>
        <w:t xml:space="preserve">Trata-se de proposição </w:t>
      </w:r>
      <w:r>
        <w:rPr>
          <w:rFonts w:ascii="Arial" w:hAnsi="Arial" w:cs="Arial"/>
          <w:w w:val="110"/>
        </w:rPr>
        <w:t xml:space="preserve">iniciada pelo </w:t>
      </w:r>
      <w:r w:rsidR="007921DD">
        <w:rPr>
          <w:rFonts w:ascii="Arial" w:hAnsi="Arial" w:cs="Arial"/>
          <w:w w:val="110"/>
        </w:rPr>
        <w:t>CHEFE DO PODER EXECUTIVO</w:t>
      </w:r>
      <w:r w:rsidRPr="00087DC9">
        <w:rPr>
          <w:rFonts w:ascii="Arial" w:hAnsi="Arial" w:cs="Arial"/>
          <w:w w:val="110"/>
        </w:rPr>
        <w:t>,</w:t>
      </w:r>
      <w:r>
        <w:rPr>
          <w:rFonts w:ascii="Arial" w:hAnsi="Arial" w:cs="Arial"/>
          <w:w w:val="110"/>
        </w:rPr>
        <w:t xml:space="preserve"> com base em assuntos de interesse legal</w:t>
      </w:r>
      <w:r w:rsidRPr="00087DC9">
        <w:rPr>
          <w:rFonts w:ascii="Arial" w:hAnsi="Arial" w:cs="Arial"/>
          <w:w w:val="110"/>
        </w:rPr>
        <w:t xml:space="preserve"> conforme a Lei Orgânica Municipal.</w:t>
      </w:r>
    </w:p>
    <w:p w14:paraId="09B43CBE" w14:textId="77777777" w:rsidR="00B156E8" w:rsidRPr="00087DC9" w:rsidRDefault="00B156E8" w:rsidP="00B156E8">
      <w:pPr>
        <w:spacing w:before="27"/>
        <w:rPr>
          <w:rFonts w:ascii="Arial" w:hAnsi="Arial" w:cs="Arial"/>
        </w:rPr>
      </w:pPr>
    </w:p>
    <w:p w14:paraId="75C7F403" w14:textId="77777777" w:rsidR="007921DD" w:rsidRPr="00226A1E" w:rsidRDefault="007921DD" w:rsidP="00226A1E">
      <w:pPr>
        <w:pStyle w:val="Corpodetexto"/>
        <w:spacing w:line="309" w:lineRule="auto"/>
        <w:ind w:left="121" w:right="318" w:firstLine="1258"/>
        <w:jc w:val="both"/>
        <w:rPr>
          <w:rFonts w:ascii="Arial" w:hAnsi="Arial" w:cs="Arial"/>
          <w:w w:val="110"/>
        </w:rPr>
      </w:pPr>
      <w:r w:rsidRPr="00226A1E">
        <w:rPr>
          <w:rFonts w:ascii="Arial" w:hAnsi="Arial" w:cs="Arial"/>
          <w:w w:val="110"/>
        </w:rPr>
        <w:t>Alexandre de Moraes expõe que "interesse local se refere aos interesses que disserem respeito mais diretamente às necessidades imediatas do município, mesmo que acabem gerando reflexos no interesse regional (Estados) ou geral (União)." (</w:t>
      </w:r>
      <w:r w:rsidRPr="00226A1E">
        <w:rPr>
          <w:rFonts w:ascii="Arial" w:hAnsi="Arial" w:cs="Arial"/>
          <w:i/>
          <w:iCs/>
          <w:w w:val="110"/>
        </w:rPr>
        <w:t>in</w:t>
      </w:r>
      <w:r w:rsidRPr="00226A1E">
        <w:rPr>
          <w:rFonts w:ascii="Arial" w:hAnsi="Arial" w:cs="Arial"/>
          <w:w w:val="110"/>
        </w:rPr>
        <w:t xml:space="preserve"> Constituição do Brasil Interpretada e Legislação Constitucional. 9ª ed., São Paulo: Atlas, 2013, p. 740). Assim, a matéria constante na proposta, que trata da organização da </w:t>
      </w:r>
      <w:r w:rsidRPr="00226A1E">
        <w:rPr>
          <w:rFonts w:ascii="Arial" w:hAnsi="Arial" w:cs="Arial"/>
          <w:w w:val="110"/>
        </w:rPr>
        <w:lastRenderedPageBreak/>
        <w:t>administração pública municipal, se adéqua efetivamente à definição de interesse local.</w:t>
      </w:r>
    </w:p>
    <w:p w14:paraId="12E92109" w14:textId="77777777" w:rsidR="007921DD" w:rsidRDefault="007921DD" w:rsidP="007921DD">
      <w:pPr>
        <w:pStyle w:val="NormalWeb"/>
        <w:jc w:val="both"/>
      </w:pPr>
    </w:p>
    <w:p w14:paraId="14A5192F" w14:textId="69F906D9" w:rsidR="007921DD" w:rsidRPr="00226A1E" w:rsidRDefault="007921DD" w:rsidP="00226A1E">
      <w:pPr>
        <w:pStyle w:val="Corpodetexto"/>
        <w:spacing w:line="309" w:lineRule="auto"/>
        <w:ind w:left="121" w:right="318" w:firstLine="1258"/>
        <w:jc w:val="both"/>
        <w:rPr>
          <w:rFonts w:ascii="Arial" w:hAnsi="Arial" w:cs="Arial"/>
          <w:w w:val="110"/>
        </w:rPr>
      </w:pPr>
      <w:r w:rsidRPr="00226A1E">
        <w:rPr>
          <w:rFonts w:ascii="Arial" w:hAnsi="Arial" w:cs="Arial"/>
          <w:w w:val="110"/>
        </w:rPr>
        <w:t>Não há dúvida, portanto, de que do ponto de vista da divisão de competências dos entes federados a administração dos bens públicos municipais dizem respeito ao interesse local. Tal previsão encontra em nosso ordenamento jurídico respaldo legal.</w:t>
      </w:r>
    </w:p>
    <w:p w14:paraId="1188B450" w14:textId="77777777" w:rsidR="007921DD" w:rsidRPr="00226A1E" w:rsidRDefault="007921DD" w:rsidP="00226A1E">
      <w:pPr>
        <w:pStyle w:val="Corpodetexto"/>
        <w:spacing w:line="309" w:lineRule="auto"/>
        <w:ind w:left="121" w:right="318" w:firstLine="1258"/>
        <w:jc w:val="both"/>
        <w:rPr>
          <w:rFonts w:ascii="Arial" w:hAnsi="Arial" w:cs="Arial"/>
          <w:w w:val="110"/>
        </w:rPr>
      </w:pPr>
    </w:p>
    <w:p w14:paraId="1CC3DB6B" w14:textId="20C56C51" w:rsidR="007921DD" w:rsidRPr="00226A1E" w:rsidRDefault="007921DD" w:rsidP="00226A1E">
      <w:pPr>
        <w:pStyle w:val="Corpodetexto"/>
        <w:spacing w:line="309" w:lineRule="auto"/>
        <w:ind w:left="121" w:right="318" w:firstLine="1258"/>
        <w:jc w:val="both"/>
        <w:rPr>
          <w:rFonts w:ascii="Arial" w:hAnsi="Arial" w:cs="Arial"/>
          <w:w w:val="110"/>
        </w:rPr>
      </w:pPr>
      <w:r w:rsidRPr="00226A1E">
        <w:rPr>
          <w:rFonts w:ascii="Arial" w:hAnsi="Arial" w:cs="Arial"/>
          <w:w w:val="110"/>
        </w:rPr>
        <w:t>Portanto, foram respeitadas a iniciativa e a competência para a propositura do Projeto de Lei do Executivo nº 365/2025, uma vez que apresentado pelo Executivo Municipal, enquanto responsável pela administração dos bens municipais.</w:t>
      </w:r>
    </w:p>
    <w:p w14:paraId="50D92E1A" w14:textId="77777777" w:rsidR="007921DD" w:rsidRPr="00226A1E" w:rsidRDefault="007921DD" w:rsidP="00226A1E">
      <w:pPr>
        <w:pStyle w:val="Corpodetexto"/>
        <w:spacing w:line="309" w:lineRule="auto"/>
        <w:ind w:left="121" w:right="318" w:firstLine="1258"/>
        <w:jc w:val="both"/>
        <w:rPr>
          <w:rFonts w:ascii="Arial" w:hAnsi="Arial" w:cs="Arial"/>
          <w:w w:val="110"/>
        </w:rPr>
      </w:pPr>
    </w:p>
    <w:p w14:paraId="3DE7A136" w14:textId="16DE51E9" w:rsidR="00B156E8" w:rsidRPr="00F563DA" w:rsidRDefault="00B156E8" w:rsidP="00226A1E">
      <w:pPr>
        <w:pStyle w:val="Corpodetexto"/>
        <w:spacing w:line="309" w:lineRule="auto"/>
        <w:ind w:left="121" w:right="318" w:firstLine="1258"/>
        <w:jc w:val="both"/>
        <w:rPr>
          <w:rFonts w:ascii="Arial" w:hAnsi="Arial" w:cs="Arial"/>
          <w:w w:val="110"/>
        </w:rPr>
      </w:pPr>
      <w:r w:rsidRPr="00F563DA">
        <w:rPr>
          <w:rFonts w:ascii="Arial" w:hAnsi="Arial" w:cs="Arial"/>
          <w:w w:val="110"/>
        </w:rPr>
        <w:t>O Projeto de Lei ora analisado apresenta-se corret</w:t>
      </w:r>
      <w:r>
        <w:rPr>
          <w:rFonts w:ascii="Arial" w:hAnsi="Arial" w:cs="Arial"/>
          <w:w w:val="110"/>
        </w:rPr>
        <w:t>o quanto</w:t>
      </w:r>
      <w:r w:rsidRPr="00F563DA">
        <w:rPr>
          <w:rFonts w:ascii="Arial" w:hAnsi="Arial" w:cs="Arial"/>
          <w:w w:val="110"/>
        </w:rPr>
        <w:t xml:space="preserve"> a competência </w:t>
      </w:r>
      <w:r w:rsidR="007921DD">
        <w:rPr>
          <w:rFonts w:ascii="Arial" w:hAnsi="Arial" w:cs="Arial"/>
          <w:w w:val="110"/>
        </w:rPr>
        <w:t>bem como</w:t>
      </w:r>
      <w:r>
        <w:rPr>
          <w:rFonts w:ascii="Arial" w:hAnsi="Arial" w:cs="Arial"/>
          <w:w w:val="110"/>
        </w:rPr>
        <w:t xml:space="preserve"> quanto </w:t>
      </w:r>
      <w:r w:rsidR="007921DD">
        <w:rPr>
          <w:rFonts w:ascii="Arial" w:hAnsi="Arial" w:cs="Arial"/>
          <w:w w:val="110"/>
        </w:rPr>
        <w:t xml:space="preserve">a </w:t>
      </w:r>
      <w:r w:rsidR="007921DD" w:rsidRPr="00F563DA">
        <w:rPr>
          <w:rFonts w:ascii="Arial" w:hAnsi="Arial" w:cs="Arial"/>
          <w:w w:val="110"/>
        </w:rPr>
        <w:t>iniciativa</w:t>
      </w:r>
      <w:r w:rsidR="007921DD">
        <w:rPr>
          <w:rFonts w:ascii="Arial" w:hAnsi="Arial" w:cs="Arial"/>
          <w:w w:val="110"/>
        </w:rPr>
        <w:t>, conforme</w:t>
      </w:r>
      <w:r>
        <w:rPr>
          <w:rFonts w:ascii="Arial" w:hAnsi="Arial" w:cs="Arial"/>
          <w:w w:val="110"/>
        </w:rPr>
        <w:t xml:space="preserve"> passaremos a relatar.</w:t>
      </w:r>
    </w:p>
    <w:p w14:paraId="1F5100B4" w14:textId="77777777" w:rsidR="00B156E8" w:rsidRPr="00226A1E" w:rsidRDefault="00B156E8" w:rsidP="00226A1E">
      <w:pPr>
        <w:pStyle w:val="Corpodetexto"/>
        <w:spacing w:line="309" w:lineRule="auto"/>
        <w:ind w:left="121" w:right="318" w:firstLine="1258"/>
        <w:jc w:val="both"/>
        <w:rPr>
          <w:rFonts w:ascii="Arial" w:hAnsi="Arial" w:cs="Arial"/>
          <w:w w:val="110"/>
        </w:rPr>
      </w:pPr>
    </w:p>
    <w:p w14:paraId="72F2222B" w14:textId="77777777" w:rsidR="001E116B" w:rsidRPr="00226A1E" w:rsidRDefault="001E116B" w:rsidP="00226A1E">
      <w:pPr>
        <w:pStyle w:val="Corpodetexto"/>
        <w:spacing w:line="309" w:lineRule="auto"/>
        <w:ind w:left="121" w:right="318" w:firstLine="1258"/>
        <w:jc w:val="both"/>
        <w:rPr>
          <w:rFonts w:ascii="Arial" w:hAnsi="Arial" w:cs="Arial"/>
          <w:w w:val="110"/>
        </w:rPr>
      </w:pPr>
    </w:p>
    <w:p w14:paraId="4E15C6E1" w14:textId="77777777" w:rsidR="001E116B" w:rsidRPr="001813EE" w:rsidRDefault="001E116B" w:rsidP="001E116B">
      <w:pPr>
        <w:tabs>
          <w:tab w:val="left" w:pos="0"/>
          <w:tab w:val="left" w:pos="1821"/>
          <w:tab w:val="left" w:pos="8931"/>
        </w:tabs>
        <w:autoSpaceDE w:val="0"/>
        <w:spacing w:line="360" w:lineRule="auto"/>
        <w:ind w:firstLine="1410"/>
        <w:jc w:val="both"/>
        <w:rPr>
          <w:rFonts w:ascii="Arial Narrow" w:hAnsi="Arial Narrow" w:cs="Arial"/>
          <w:b/>
          <w:bCs/>
          <w:color w:val="000000"/>
          <w:u w:val="single"/>
          <w:lang w:eastAsia="ar-SA"/>
        </w:rPr>
      </w:pPr>
      <w:r w:rsidRPr="001813EE">
        <w:rPr>
          <w:rFonts w:ascii="Arial Narrow" w:hAnsi="Arial Narrow" w:cs="Arial"/>
          <w:b/>
          <w:bCs/>
          <w:color w:val="000000"/>
          <w:lang w:eastAsia="ar-SA"/>
        </w:rPr>
        <w:t xml:space="preserve">I – </w:t>
      </w:r>
      <w:r w:rsidRPr="001813EE">
        <w:rPr>
          <w:rFonts w:ascii="Arial Narrow" w:hAnsi="Arial Narrow" w:cs="Arial"/>
          <w:b/>
          <w:bCs/>
          <w:color w:val="000000"/>
          <w:u w:val="single"/>
          <w:lang w:eastAsia="ar-SA"/>
        </w:rPr>
        <w:t>Relatório</w:t>
      </w:r>
    </w:p>
    <w:p w14:paraId="347B77F0" w14:textId="77777777" w:rsidR="001E116B" w:rsidRDefault="001E116B" w:rsidP="001E116B">
      <w:pPr>
        <w:tabs>
          <w:tab w:val="left" w:pos="1455"/>
        </w:tabs>
        <w:spacing w:line="360" w:lineRule="auto"/>
        <w:ind w:firstLine="1410"/>
        <w:jc w:val="both"/>
        <w:rPr>
          <w:rFonts w:ascii="Arial Narrow" w:hAnsi="Arial Narrow" w:cs="Arial"/>
          <w:lang w:eastAsia="ar-SA"/>
        </w:rPr>
      </w:pPr>
    </w:p>
    <w:p w14:paraId="7FB4EFA0" w14:textId="42E6AC27" w:rsidR="001E116B" w:rsidRDefault="000D4ADA" w:rsidP="007921DD">
      <w:pPr>
        <w:pStyle w:val="Corpodetexto"/>
        <w:ind w:left="285" w:right="30"/>
        <w:jc w:val="both"/>
        <w:rPr>
          <w:rFonts w:ascii="Arial" w:hAnsi="Arial" w:cs="Arial"/>
        </w:rPr>
      </w:pPr>
      <w:r>
        <w:rPr>
          <w:rFonts w:ascii="Arial" w:hAnsi="Arial" w:cs="Arial"/>
        </w:rPr>
        <w:t xml:space="preserve">                   </w:t>
      </w:r>
      <w:r w:rsidR="001E116B" w:rsidRPr="006D3E3A">
        <w:rPr>
          <w:rFonts w:ascii="Arial" w:hAnsi="Arial" w:cs="Arial"/>
        </w:rPr>
        <w:t>O</w:t>
      </w:r>
      <w:r w:rsidR="001E116B">
        <w:rPr>
          <w:rFonts w:ascii="Arial" w:hAnsi="Arial" w:cs="Arial"/>
        </w:rPr>
        <w:t xml:space="preserve"> referido projeto de lei</w:t>
      </w:r>
      <w:r w:rsidR="001E116B" w:rsidRPr="006D3E3A">
        <w:rPr>
          <w:rFonts w:ascii="Arial" w:hAnsi="Arial" w:cs="Arial"/>
        </w:rPr>
        <w:t xml:space="preserve"> </w:t>
      </w:r>
      <w:r w:rsidR="00FA0FCC">
        <w:rPr>
          <w:rFonts w:ascii="Arial" w:hAnsi="Arial" w:cs="Arial"/>
        </w:rPr>
        <w:t>“</w:t>
      </w:r>
      <w:r w:rsidR="007921DD">
        <w:rPr>
          <w:rFonts w:ascii="Arial" w:hAnsi="Arial" w:cs="Arial"/>
        </w:rPr>
        <w:t>DISPOE SOBRE A OUTORGA DE USO DE BENS PÚBLICOS A TERCEIROS NO MUNICIPIO DE SETE LAGOAS E DA OUTRAS PROVIDENCIA”</w:t>
      </w:r>
      <w:r w:rsidR="00FA0FCC">
        <w:rPr>
          <w:rFonts w:ascii="Arial" w:hAnsi="Arial" w:cs="Arial"/>
        </w:rPr>
        <w:t xml:space="preserve"> tem como objetivo </w:t>
      </w:r>
      <w:r>
        <w:rPr>
          <w:rFonts w:ascii="Arial" w:hAnsi="Arial" w:cs="Arial"/>
        </w:rPr>
        <w:t>regulamentar e facilitar a mobilidade urbana executada através do serviço de estacionamento rotativo denominado faixa azul no município de sete lagoas.</w:t>
      </w:r>
    </w:p>
    <w:p w14:paraId="7F732DED" w14:textId="6E8993CA" w:rsidR="000D4ADA" w:rsidRDefault="000D4ADA" w:rsidP="000D4ADA">
      <w:r>
        <w:t xml:space="preserve"> </w:t>
      </w:r>
    </w:p>
    <w:p w14:paraId="2EF7B19B" w14:textId="5C5B3C60" w:rsidR="000D4ADA" w:rsidRDefault="000D4ADA" w:rsidP="000D4ADA">
      <w:pPr>
        <w:jc w:val="both"/>
      </w:pPr>
      <w:r>
        <w:rPr>
          <w:rFonts w:ascii="Arial" w:hAnsi="Arial" w:cs="Arial"/>
          <w:lang w:eastAsia="ar-SA"/>
        </w:rPr>
        <w:t xml:space="preserve">                 </w:t>
      </w:r>
      <w:r w:rsidRPr="000D4ADA">
        <w:rPr>
          <w:rFonts w:ascii="Arial" w:hAnsi="Arial" w:cs="Arial"/>
          <w:lang w:eastAsia="ar-SA"/>
        </w:rPr>
        <w:t xml:space="preserve">Na justificativa o autor descreve que a proposta </w:t>
      </w:r>
      <w:r w:rsidR="007921DD">
        <w:t>A proposta legislativa tem por objeto regulamentar, de forma clara e sistematizada, as diversas modalidades de uso de bens públicos municipais por terceiros.</w:t>
      </w:r>
    </w:p>
    <w:p w14:paraId="33281408" w14:textId="77777777" w:rsidR="007921DD" w:rsidRDefault="007921DD" w:rsidP="000D4ADA">
      <w:pPr>
        <w:jc w:val="both"/>
      </w:pPr>
    </w:p>
    <w:p w14:paraId="1742A770" w14:textId="77777777" w:rsidR="007921DD" w:rsidRPr="00226A1E" w:rsidRDefault="007921DD" w:rsidP="00226A1E">
      <w:pPr>
        <w:pStyle w:val="Corpodetexto"/>
        <w:spacing w:line="309" w:lineRule="auto"/>
        <w:ind w:left="121" w:right="318" w:firstLine="1258"/>
        <w:jc w:val="both"/>
        <w:rPr>
          <w:rFonts w:ascii="Arial" w:hAnsi="Arial" w:cs="Arial"/>
          <w:w w:val="110"/>
        </w:rPr>
      </w:pPr>
      <w:r w:rsidRPr="00226A1E">
        <w:rPr>
          <w:rFonts w:ascii="Arial" w:hAnsi="Arial" w:cs="Arial"/>
          <w:w w:val="110"/>
        </w:rPr>
        <w:t>Veja-se, em síntese, o que consta na justificativa:</w:t>
      </w:r>
    </w:p>
    <w:p w14:paraId="731E28F5" w14:textId="77777777" w:rsidR="007921DD" w:rsidRPr="00226A1E" w:rsidRDefault="007921DD" w:rsidP="00226A1E">
      <w:pPr>
        <w:pStyle w:val="Corpodetexto"/>
        <w:spacing w:line="309" w:lineRule="auto"/>
        <w:ind w:left="121" w:right="318" w:firstLine="1258"/>
        <w:jc w:val="both"/>
        <w:rPr>
          <w:rFonts w:ascii="Arial" w:hAnsi="Arial" w:cs="Arial"/>
          <w:w w:val="110"/>
        </w:rPr>
      </w:pPr>
    </w:p>
    <w:p w14:paraId="671644D3" w14:textId="77777777" w:rsidR="007921DD" w:rsidRPr="00226A1E" w:rsidRDefault="007921DD" w:rsidP="00226A1E">
      <w:pPr>
        <w:pStyle w:val="Corpodetexto"/>
        <w:spacing w:line="309" w:lineRule="auto"/>
        <w:ind w:left="121" w:right="318" w:firstLine="1258"/>
        <w:jc w:val="both"/>
        <w:rPr>
          <w:rFonts w:ascii="Arial" w:hAnsi="Arial" w:cs="Arial"/>
          <w:w w:val="110"/>
        </w:rPr>
      </w:pPr>
      <w:r w:rsidRPr="00226A1E">
        <w:rPr>
          <w:rFonts w:ascii="Arial" w:hAnsi="Arial" w:cs="Arial"/>
          <w:w w:val="110"/>
        </w:rPr>
        <w:t xml:space="preserve">A proposta legislativa tem por objeto regulamentar, de forma clara e sistematizada, as diversas modalidades de uso de bens públicos </w:t>
      </w:r>
      <w:r w:rsidRPr="00226A1E">
        <w:rPr>
          <w:rFonts w:ascii="Arial" w:hAnsi="Arial" w:cs="Arial"/>
          <w:w w:val="110"/>
        </w:rPr>
        <w:lastRenderedPageBreak/>
        <w:t>municipais por terceiros, observando os princípios da legalidade, da eficiência, da finalidade pública e da transparência administrativa, em consonância com os princípios previstos n artigo 5º da lei 14.133/2021.</w:t>
      </w:r>
    </w:p>
    <w:p w14:paraId="115C26A1" w14:textId="77777777" w:rsidR="007921DD" w:rsidRDefault="007921DD" w:rsidP="000D4ADA">
      <w:pPr>
        <w:jc w:val="both"/>
      </w:pPr>
    </w:p>
    <w:p w14:paraId="334B30F5" w14:textId="77777777" w:rsidR="007921DD" w:rsidRPr="000D4ADA" w:rsidRDefault="007921DD" w:rsidP="000D4ADA">
      <w:pPr>
        <w:jc w:val="both"/>
        <w:rPr>
          <w:rFonts w:ascii="Arial" w:hAnsi="Arial" w:cs="Arial"/>
          <w:lang w:eastAsia="ar-SA"/>
        </w:rPr>
      </w:pPr>
    </w:p>
    <w:p w14:paraId="61614B72" w14:textId="77777777" w:rsidR="000D4ADA" w:rsidRPr="000D4ADA" w:rsidRDefault="000D4ADA" w:rsidP="000D4ADA">
      <w:pPr>
        <w:rPr>
          <w:rFonts w:ascii="Arial" w:hAnsi="Arial" w:cs="Arial"/>
          <w:lang w:eastAsia="ar-SA"/>
        </w:rPr>
      </w:pPr>
    </w:p>
    <w:p w14:paraId="5B59CB3A" w14:textId="75EABC9A" w:rsidR="001E116B" w:rsidRPr="000A0506" w:rsidRDefault="001E116B" w:rsidP="001E116B">
      <w:pPr>
        <w:tabs>
          <w:tab w:val="left" w:pos="1455"/>
        </w:tabs>
        <w:spacing w:line="360" w:lineRule="auto"/>
        <w:ind w:firstLine="1410"/>
        <w:jc w:val="both"/>
        <w:rPr>
          <w:rFonts w:ascii="Arial" w:hAnsi="Arial" w:cs="Arial"/>
          <w:lang w:eastAsia="ar-SA"/>
        </w:rPr>
      </w:pPr>
      <w:r w:rsidRPr="000A0506">
        <w:rPr>
          <w:rFonts w:ascii="Arial" w:hAnsi="Arial" w:cs="Arial"/>
          <w:lang w:eastAsia="ar-SA"/>
        </w:rPr>
        <w:t xml:space="preserve">A solicitação </w:t>
      </w:r>
      <w:r w:rsidR="007921DD">
        <w:rPr>
          <w:rFonts w:ascii="Arial" w:hAnsi="Arial" w:cs="Arial"/>
          <w:lang w:eastAsia="ar-SA"/>
        </w:rPr>
        <w:t xml:space="preserve">não </w:t>
      </w:r>
      <w:r w:rsidRPr="000A0506">
        <w:rPr>
          <w:rFonts w:ascii="Arial" w:hAnsi="Arial" w:cs="Arial"/>
          <w:lang w:eastAsia="ar-SA"/>
        </w:rPr>
        <w:t xml:space="preserve">veio acompanhado </w:t>
      </w:r>
      <w:r w:rsidR="007921DD">
        <w:rPr>
          <w:rFonts w:ascii="Arial" w:hAnsi="Arial" w:cs="Arial"/>
          <w:lang w:eastAsia="ar-SA"/>
        </w:rPr>
        <w:t>de documentos</w:t>
      </w:r>
    </w:p>
    <w:p w14:paraId="1ED664E3" w14:textId="38928291" w:rsidR="001E116B" w:rsidRDefault="001E116B" w:rsidP="001E116B">
      <w:pPr>
        <w:tabs>
          <w:tab w:val="left" w:pos="1455"/>
        </w:tabs>
        <w:spacing w:line="360" w:lineRule="auto"/>
        <w:ind w:firstLine="1410"/>
        <w:jc w:val="both"/>
        <w:rPr>
          <w:rFonts w:ascii="Arial" w:hAnsi="Arial" w:cs="Arial"/>
          <w:lang w:eastAsia="ar-SA"/>
        </w:rPr>
      </w:pPr>
      <w:r w:rsidRPr="000A0506">
        <w:rPr>
          <w:rFonts w:ascii="Arial" w:hAnsi="Arial" w:cs="Arial"/>
          <w:lang w:eastAsia="ar-SA"/>
        </w:rPr>
        <w:t>Em síntese estes são os fatos.</w:t>
      </w:r>
    </w:p>
    <w:p w14:paraId="02DDA601" w14:textId="05A7C708" w:rsidR="000D4ADA" w:rsidRDefault="000D4ADA" w:rsidP="007921DD">
      <w:pPr>
        <w:pStyle w:val="Corpodetexto"/>
        <w:ind w:left="285" w:right="30"/>
        <w:jc w:val="both"/>
        <w:rPr>
          <w:rFonts w:ascii="Arial" w:hAnsi="Arial" w:cs="Arial"/>
          <w:lang w:eastAsia="ar-SA"/>
        </w:rPr>
      </w:pPr>
      <w:r>
        <w:rPr>
          <w:rFonts w:ascii="Arial" w:hAnsi="Arial" w:cs="Arial"/>
          <w:w w:val="110"/>
        </w:rPr>
        <w:t xml:space="preserve">             </w:t>
      </w:r>
    </w:p>
    <w:p w14:paraId="21E912C3" w14:textId="77777777" w:rsidR="001E116B" w:rsidRDefault="001E116B" w:rsidP="001E116B">
      <w:pPr>
        <w:pStyle w:val="Ttulo1"/>
        <w:tabs>
          <w:tab w:val="left" w:pos="1924"/>
        </w:tabs>
        <w:ind w:left="1924"/>
        <w:jc w:val="left"/>
        <w:rPr>
          <w:w w:val="115"/>
        </w:rPr>
      </w:pPr>
    </w:p>
    <w:p w14:paraId="54767E25" w14:textId="3087E1E4" w:rsidR="001E116B" w:rsidRDefault="001E116B" w:rsidP="001E116B">
      <w:pPr>
        <w:tabs>
          <w:tab w:val="left" w:pos="1455"/>
        </w:tabs>
        <w:spacing w:line="360" w:lineRule="auto"/>
        <w:ind w:firstLine="1410"/>
        <w:jc w:val="both"/>
        <w:rPr>
          <w:rFonts w:ascii="Arial Narrow" w:hAnsi="Arial Narrow" w:cs="Arial"/>
          <w:b/>
          <w:bCs/>
          <w:u w:val="single"/>
          <w:lang w:eastAsia="ar-SA"/>
        </w:rPr>
      </w:pPr>
      <w:r w:rsidRPr="001813EE">
        <w:rPr>
          <w:rFonts w:ascii="Arial Narrow" w:hAnsi="Arial Narrow" w:cs="Arial"/>
          <w:b/>
          <w:bCs/>
          <w:lang w:eastAsia="ar-SA"/>
        </w:rPr>
        <w:t xml:space="preserve">II – </w:t>
      </w:r>
      <w:r w:rsidRPr="001813EE">
        <w:rPr>
          <w:rFonts w:ascii="Arial Narrow" w:hAnsi="Arial Narrow" w:cs="Arial"/>
          <w:b/>
          <w:bCs/>
          <w:u w:val="single"/>
          <w:lang w:eastAsia="ar-SA"/>
        </w:rPr>
        <w:t>Fundamentação</w:t>
      </w:r>
    </w:p>
    <w:p w14:paraId="67F1A5CB" w14:textId="3C723EE7" w:rsidR="007921DD" w:rsidRDefault="007921DD" w:rsidP="001E116B">
      <w:pPr>
        <w:tabs>
          <w:tab w:val="left" w:pos="1455"/>
        </w:tabs>
        <w:spacing w:line="360" w:lineRule="auto"/>
        <w:ind w:firstLine="1410"/>
        <w:jc w:val="both"/>
        <w:rPr>
          <w:rFonts w:ascii="Arial Narrow" w:hAnsi="Arial Narrow" w:cs="Arial"/>
          <w:b/>
          <w:bCs/>
          <w:u w:val="single"/>
          <w:lang w:eastAsia="ar-SA"/>
        </w:rPr>
      </w:pPr>
    </w:p>
    <w:p w14:paraId="0CD0A3A5" w14:textId="77777777" w:rsidR="007921DD" w:rsidRDefault="007921DD" w:rsidP="007921DD">
      <w:pPr>
        <w:pStyle w:val="NormalWeb"/>
        <w:jc w:val="both"/>
      </w:pPr>
    </w:p>
    <w:p w14:paraId="40D804F7" w14:textId="114EB06E" w:rsidR="007921DD" w:rsidRPr="00226A1E" w:rsidRDefault="007921DD" w:rsidP="00226A1E">
      <w:pPr>
        <w:pStyle w:val="Corpodetexto"/>
        <w:spacing w:line="309" w:lineRule="auto"/>
        <w:ind w:left="121" w:right="318" w:firstLine="1258"/>
        <w:jc w:val="both"/>
        <w:rPr>
          <w:rFonts w:ascii="Arial" w:hAnsi="Arial" w:cs="Arial"/>
          <w:b/>
          <w:bCs/>
          <w:w w:val="110"/>
        </w:rPr>
      </w:pPr>
      <w:r w:rsidRPr="00226A1E">
        <w:rPr>
          <w:rFonts w:ascii="Arial" w:hAnsi="Arial" w:cs="Arial"/>
          <w:b/>
          <w:bCs/>
          <w:w w:val="110"/>
        </w:rPr>
        <w:t>Do conteúdo do projeto de lei</w:t>
      </w:r>
    </w:p>
    <w:p w14:paraId="12D31DF1" w14:textId="77777777" w:rsidR="007921DD" w:rsidRPr="00226A1E" w:rsidRDefault="007921DD" w:rsidP="00226A1E">
      <w:pPr>
        <w:pStyle w:val="Corpodetexto"/>
        <w:spacing w:line="309" w:lineRule="auto"/>
        <w:ind w:left="121" w:right="318" w:firstLine="1258"/>
        <w:jc w:val="both"/>
        <w:rPr>
          <w:rFonts w:ascii="Arial" w:hAnsi="Arial" w:cs="Arial"/>
          <w:w w:val="110"/>
        </w:rPr>
      </w:pPr>
    </w:p>
    <w:p w14:paraId="3A435F5B" w14:textId="77777777" w:rsidR="007921DD" w:rsidRPr="00226A1E" w:rsidRDefault="007921DD" w:rsidP="00226A1E">
      <w:pPr>
        <w:pStyle w:val="Corpodetexto"/>
        <w:spacing w:line="309" w:lineRule="auto"/>
        <w:ind w:left="121" w:right="318" w:firstLine="1258"/>
        <w:jc w:val="both"/>
        <w:rPr>
          <w:rFonts w:ascii="Arial" w:hAnsi="Arial" w:cs="Arial"/>
          <w:w w:val="110"/>
        </w:rPr>
      </w:pPr>
      <w:r w:rsidRPr="00226A1E">
        <w:rPr>
          <w:rFonts w:ascii="Arial" w:hAnsi="Arial" w:cs="Arial"/>
          <w:w w:val="110"/>
        </w:rPr>
        <w:t>A respeito do teor do Projeto de Lei do Executivo nº 365/2025, tem-se que a matéria abrange as diversas modalidades de uso de bens públicos municipais por terceiros.</w:t>
      </w:r>
    </w:p>
    <w:p w14:paraId="5F4E750B" w14:textId="77777777" w:rsidR="007921DD" w:rsidRPr="00226A1E" w:rsidRDefault="007921DD" w:rsidP="00226A1E">
      <w:pPr>
        <w:pStyle w:val="Corpodetexto"/>
        <w:spacing w:line="309" w:lineRule="auto"/>
        <w:ind w:left="121" w:right="318" w:firstLine="1258"/>
        <w:jc w:val="both"/>
        <w:rPr>
          <w:rFonts w:ascii="Arial" w:hAnsi="Arial" w:cs="Arial"/>
          <w:w w:val="110"/>
        </w:rPr>
      </w:pPr>
    </w:p>
    <w:p w14:paraId="036788C4" w14:textId="06FF336C" w:rsidR="007921DD" w:rsidRDefault="007921DD" w:rsidP="007921DD">
      <w:pPr>
        <w:pStyle w:val="NormalWeb"/>
        <w:ind w:left="2832"/>
        <w:jc w:val="both"/>
      </w:pPr>
      <w:r>
        <w:t>Os artigos 11, 17, 29 e 29A e 30 da Lei Orgânica Municipal:</w:t>
      </w:r>
    </w:p>
    <w:p w14:paraId="35F670CA" w14:textId="52648914" w:rsidR="007921DD" w:rsidRDefault="007921DD" w:rsidP="007921DD">
      <w:pPr>
        <w:pStyle w:val="NormalWeb"/>
        <w:ind w:left="2832"/>
        <w:jc w:val="both"/>
      </w:pPr>
      <w:r>
        <w:br/>
      </w:r>
      <w:bookmarkStart w:id="1" w:name="artigo_11"/>
      <w:r>
        <w:rPr>
          <w:rStyle w:val="label"/>
        </w:rPr>
        <w:t>Art. 11</w:t>
      </w:r>
      <w:bookmarkEnd w:id="1"/>
      <w:r>
        <w:t xml:space="preserve"> A autonomia do Município configura-se, especialmente pela:...</w:t>
      </w:r>
    </w:p>
    <w:p w14:paraId="75EB92CA" w14:textId="77777777" w:rsidR="007921DD" w:rsidRDefault="007921DD" w:rsidP="007921DD">
      <w:pPr>
        <w:pStyle w:val="NormalWeb"/>
        <w:ind w:left="2832"/>
        <w:jc w:val="both"/>
      </w:pPr>
    </w:p>
    <w:p w14:paraId="4A51C7F4" w14:textId="07645A6E" w:rsidR="007921DD" w:rsidRDefault="007921DD" w:rsidP="007921DD">
      <w:pPr>
        <w:pStyle w:val="NormalWeb"/>
        <w:ind w:left="2832"/>
      </w:pPr>
      <w:r>
        <w:t>III - organização de seu governo e administração.</w:t>
      </w:r>
    </w:p>
    <w:p w14:paraId="2FEDD72C" w14:textId="77777777" w:rsidR="007921DD" w:rsidRDefault="007921DD" w:rsidP="007921DD">
      <w:pPr>
        <w:pStyle w:val="NormalWeb"/>
        <w:ind w:left="2832"/>
      </w:pPr>
    </w:p>
    <w:p w14:paraId="3E70BBED" w14:textId="77777777" w:rsidR="007921DD" w:rsidRDefault="007921DD" w:rsidP="007921DD">
      <w:pPr>
        <w:pStyle w:val="NormalWeb"/>
        <w:ind w:left="2124"/>
        <w:jc w:val="both"/>
      </w:pPr>
      <w:bookmarkStart w:id="2" w:name="artigo_17"/>
      <w:r>
        <w:rPr>
          <w:rStyle w:val="label"/>
        </w:rPr>
        <w:t>Art. 17</w:t>
      </w:r>
      <w:bookmarkEnd w:id="2"/>
      <w:r>
        <w:t xml:space="preserve"> Cabe ao Prefeito a administração dos bens municipais, respeitada a competência da Câmara Municipal quanto àqueles utilizados em seus serviços.</w:t>
      </w:r>
    </w:p>
    <w:p w14:paraId="05E6363D" w14:textId="34048E6C" w:rsidR="007921DD" w:rsidRDefault="007921DD" w:rsidP="007921DD">
      <w:pPr>
        <w:pStyle w:val="NormalWeb"/>
        <w:ind w:left="2124"/>
        <w:jc w:val="both"/>
      </w:pPr>
      <w:bookmarkStart w:id="3" w:name="artigo_29"/>
      <w:r>
        <w:rPr>
          <w:rStyle w:val="label"/>
        </w:rPr>
        <w:t>Art. 29</w:t>
      </w:r>
      <w:bookmarkEnd w:id="3"/>
      <w:r>
        <w:rPr>
          <w:b/>
          <w:bCs/>
        </w:rPr>
        <w:t xml:space="preserve"> O uso de bens municipais por terceiros poderá ser feito mediante concessão, permissão ou autorização, quando houver interesse público devidamente justificado.</w:t>
      </w:r>
      <w:r>
        <w:t xml:space="preserve"> (Redação dada pela Emenda à Lei Orgânica nº </w:t>
      </w:r>
      <w:hyperlink r:id="rId8" w:history="1">
        <w:r>
          <w:rPr>
            <w:rStyle w:val="Hyperlink"/>
          </w:rPr>
          <w:t>39</w:t>
        </w:r>
      </w:hyperlink>
      <w:r>
        <w:t>/2017)</w:t>
      </w:r>
      <w:r>
        <w:br/>
      </w:r>
      <w:r>
        <w:br/>
      </w:r>
      <w:r>
        <w:rPr>
          <w:b/>
          <w:bCs/>
        </w:rPr>
        <w:t xml:space="preserve">§ 1º A concessão dos bens públicos de uso comum, especial e dominial dependerá de lei, procedimento licitatório na modalidade concorrência e far-se-á mediante contrato por tempo determinado, </w:t>
      </w:r>
      <w:r>
        <w:rPr>
          <w:b/>
          <w:bCs/>
        </w:rPr>
        <w:lastRenderedPageBreak/>
        <w:t>sob pena de nulidade do ato.</w:t>
      </w:r>
      <w:r>
        <w:t xml:space="preserve"> (Redação dada pela Emenda à Lei Orgânica nº </w:t>
      </w:r>
      <w:hyperlink r:id="rId9" w:history="1">
        <w:r>
          <w:rPr>
            <w:rStyle w:val="Hyperlink"/>
          </w:rPr>
          <w:t>39</w:t>
        </w:r>
      </w:hyperlink>
      <w:r>
        <w:t>/2017)</w:t>
      </w:r>
      <w:r>
        <w:br/>
      </w:r>
      <w:r>
        <w:br/>
      </w:r>
      <w:r>
        <w:rPr>
          <w:b/>
          <w:bCs/>
        </w:rPr>
        <w:t>§ 2º A permissão, que poderá incidir sobre qualquer bem público, será feita a título precário, por decreto, mediante procedimento licitatório, dando ciência imediata do ato ao Poder Legislativo Municipal.</w:t>
      </w:r>
      <w:r>
        <w:t xml:space="preserve"> (Redação dada pela Emenda à Lei Orgânica nº </w:t>
      </w:r>
      <w:hyperlink r:id="rId10" w:history="1">
        <w:r>
          <w:rPr>
            <w:rStyle w:val="Hyperlink"/>
          </w:rPr>
          <w:t>39</w:t>
        </w:r>
      </w:hyperlink>
      <w:r>
        <w:t>/2017)</w:t>
      </w:r>
      <w:r>
        <w:br/>
      </w:r>
      <w:r>
        <w:br/>
      </w:r>
      <w:r>
        <w:rPr>
          <w:b/>
          <w:bCs/>
        </w:rPr>
        <w:t xml:space="preserve">§ 3º A autorização, que poderá incidir sobre qualquer bem público, será feita a título precário, por portaria, para atividades ou usos específicos e transitórios, pelo prazo máximo de 01 (um) ano, podendo ser prorrogado por igual período. (Redação dada pela Emenda à Lei Orgânica nº </w:t>
      </w:r>
      <w:hyperlink r:id="rId11" w:history="1">
        <w:r>
          <w:rPr>
            <w:rStyle w:val="Hyperlink"/>
            <w:b/>
            <w:bCs/>
          </w:rPr>
          <w:t>46</w:t>
        </w:r>
      </w:hyperlink>
      <w:r>
        <w:rPr>
          <w:b/>
          <w:bCs/>
        </w:rPr>
        <w:t>/2023)</w:t>
      </w:r>
      <w:r>
        <w:br/>
      </w:r>
      <w:r>
        <w:br/>
      </w:r>
      <w:bookmarkStart w:id="4" w:name="artigo_29-A"/>
      <w:r>
        <w:rPr>
          <w:rStyle w:val="label"/>
        </w:rPr>
        <w:t xml:space="preserve">Art. 29-A </w:t>
      </w:r>
      <w:bookmarkEnd w:id="4"/>
      <w:r>
        <w:rPr>
          <w:b/>
          <w:bCs/>
        </w:rPr>
        <w:t>O uso dos bens públicos municipais por outros órgãos ou entes públicos se dará através da cessão de uso.</w:t>
      </w:r>
      <w:r>
        <w:t xml:space="preserve"> (Redação acrescida pela Emenda à Lei Orgânica nº </w:t>
      </w:r>
      <w:hyperlink r:id="rId12" w:history="1">
        <w:r>
          <w:rPr>
            <w:rStyle w:val="Hyperlink"/>
          </w:rPr>
          <w:t>39</w:t>
        </w:r>
      </w:hyperlink>
      <w:r>
        <w:t>/2017)</w:t>
      </w:r>
      <w:r>
        <w:br/>
      </w:r>
      <w:r>
        <w:br/>
      </w:r>
      <w:r>
        <w:rPr>
          <w:b/>
          <w:bCs/>
        </w:rPr>
        <w:t>Parágrafo único. Entende-se por cessão de uso a transferência gratuita da posse e troca de responsabilidade, de caráter temporário, entre órgãos ou entidades da Administração Pública Direta, Autárquica e Fundacional do Poder Executivo, ou entre estes órgãos de quaisquer dos Poderes, do Ministério Público, Judiciário e demais órgãos públicos, atendendo-se o interesse e disponibilidade da administração cedente.</w:t>
      </w:r>
      <w:r>
        <w:t xml:space="preserve"> (Redação acrescida pela Emenda à Lei Orgânica nº </w:t>
      </w:r>
      <w:hyperlink r:id="rId13" w:history="1">
        <w:r>
          <w:rPr>
            <w:rStyle w:val="Hyperlink"/>
          </w:rPr>
          <w:t>39</w:t>
        </w:r>
      </w:hyperlink>
      <w:r>
        <w:t>/2017)</w:t>
      </w:r>
      <w:r>
        <w:br/>
      </w:r>
      <w:r>
        <w:br/>
      </w:r>
      <w:bookmarkStart w:id="5" w:name="artigo_30"/>
      <w:r>
        <w:rPr>
          <w:rStyle w:val="label"/>
        </w:rPr>
        <w:t>Art. 30</w:t>
      </w:r>
      <w:bookmarkEnd w:id="5"/>
      <w:r>
        <w:t xml:space="preserve"> A utilização e administração dos bens públicos de uso especial como mercados, matadouros, estações, recintos de espetáculos e campos de esporte serão feitas na forma da Lei e regulamentos respectivos.</w:t>
      </w:r>
    </w:p>
    <w:p w14:paraId="2DD88A52" w14:textId="77777777" w:rsidR="007921DD" w:rsidRDefault="007921DD" w:rsidP="007921DD">
      <w:pPr>
        <w:pStyle w:val="NormalWeb"/>
        <w:ind w:left="2124"/>
        <w:jc w:val="both"/>
      </w:pPr>
    </w:p>
    <w:p w14:paraId="6BBB6C0B" w14:textId="696B3702" w:rsidR="007921DD" w:rsidRDefault="007921DD" w:rsidP="007921DD">
      <w:pPr>
        <w:pStyle w:val="NormalWeb"/>
        <w:jc w:val="both"/>
      </w:pPr>
      <w:r>
        <w:t>A concessão administrativa de bens públicos depende de autorização legislativa e concorrência e será formalizada mediante contrato, sob pena de nulidade do ato (art. 114, § 1°). A concorrência, no entanto, poderá ser dispensada quando o uso se destinar a concessionárias de serviço público, entidades assistenciais ou filantrópicas ou quando houver interesse público ou social devidamente justificado (art. 114, § 2°).</w:t>
      </w:r>
    </w:p>
    <w:p w14:paraId="512A29A8" w14:textId="77777777" w:rsidR="007921DD" w:rsidRDefault="007921DD" w:rsidP="007921DD">
      <w:pPr>
        <w:pStyle w:val="NormalWeb"/>
        <w:jc w:val="both"/>
      </w:pPr>
    </w:p>
    <w:p w14:paraId="102CD072" w14:textId="598CFB61" w:rsidR="007921DD" w:rsidRDefault="007921DD" w:rsidP="007921DD">
      <w:pPr>
        <w:pStyle w:val="NormalWeb"/>
        <w:jc w:val="both"/>
      </w:pPr>
      <w:r>
        <w:t>A propósito, conforme ensina Maria Sylvia Zanella Di Pietro, a concessão, em razão da sua natureza contratual, é o instituto empregado, preferentemente à permissão, nos casos em que a utilização do bem público objetiva o exercício de atividades de utilidade pública de maior vulto e, por isso mesmo, mais onerosas para o concessionário.</w:t>
      </w:r>
    </w:p>
    <w:p w14:paraId="1094A0EB" w14:textId="77777777" w:rsidR="007921DD" w:rsidRDefault="007921DD" w:rsidP="007921DD">
      <w:pPr>
        <w:pStyle w:val="NormalWeb"/>
        <w:jc w:val="both"/>
      </w:pPr>
    </w:p>
    <w:p w14:paraId="22454F00" w14:textId="30EE0155" w:rsidR="007921DD" w:rsidRDefault="007921DD" w:rsidP="007921DD">
      <w:pPr>
        <w:pStyle w:val="NormalWeb"/>
        <w:jc w:val="both"/>
      </w:pPr>
      <w:r>
        <w:t>Vale a pena transcrever a lição a respeito do assunto:</w:t>
      </w:r>
    </w:p>
    <w:p w14:paraId="35B5E8EE" w14:textId="77777777" w:rsidR="007921DD" w:rsidRDefault="007921DD" w:rsidP="007921DD">
      <w:pPr>
        <w:pStyle w:val="NormalWeb"/>
        <w:jc w:val="both"/>
      </w:pPr>
    </w:p>
    <w:p w14:paraId="57F48592" w14:textId="77777777" w:rsidR="007921DD" w:rsidRDefault="007921DD" w:rsidP="007921DD">
      <w:pPr>
        <w:pStyle w:val="NormalWeb"/>
        <w:ind w:left="2124"/>
        <w:jc w:val="both"/>
        <w:rPr>
          <w:rStyle w:val="nfase"/>
          <w:vertAlign w:val="superscript"/>
        </w:rPr>
      </w:pPr>
      <w:r>
        <w:rPr>
          <w:rStyle w:val="nfase"/>
        </w:rPr>
        <w:lastRenderedPageBreak/>
        <w:t xml:space="preserve">"A concessão é o instituto empregado, preferentemente à permissão, nos casos em que a utilização do bem público objetiva o exercício de atividades de utilidade pública de maior vulto e, por isso mesmo, mais onerosas para o concessionário. Esta assume obrigações perante terceiros e encargos financeiros elevados, que somente se justificam se ele for beneficiado com a fixação de prazos mais prolongados, que assegurem um mínimo de estabilidade no exercício de suas atividades. Em </w:t>
      </w:r>
      <w:proofErr w:type="spellStart"/>
      <w:r>
        <w:rPr>
          <w:rStyle w:val="nfase"/>
        </w:rPr>
        <w:t>conseqüência</w:t>
      </w:r>
      <w:proofErr w:type="spellEnd"/>
      <w:r>
        <w:rPr>
          <w:rStyle w:val="nfase"/>
        </w:rPr>
        <w:t xml:space="preserve">, a forma mais adequada é a contratual, que permite, mediante acordo de vontades entre concedente e concessionário, estabelecer o equilíbrio econômico do contrato e fixar as condições em que o uso se exercerá, entre as quais a finalidade, o prazo, a remuneração, a fiscalização, as sanções. A fixação de prazo, além de ser uma garantia para o concessionário, sem a qual ele não aceitaria a concessão, é exigência legal que decorre da Lei n° </w:t>
      </w:r>
      <w:hyperlink r:id="rId14" w:history="1">
        <w:r>
          <w:rPr>
            <w:rStyle w:val="Hyperlink"/>
            <w:i/>
            <w:iCs/>
          </w:rPr>
          <w:t>8.666</w:t>
        </w:r>
      </w:hyperlink>
      <w:r>
        <w:rPr>
          <w:rStyle w:val="nfase"/>
        </w:rPr>
        <w:t>, de 21-6-93, cujo artigo 57, § 3°, veda contrato com prazo indeterminado." </w:t>
      </w:r>
      <w:r>
        <w:rPr>
          <w:rStyle w:val="nfase"/>
          <w:vertAlign w:val="superscript"/>
        </w:rPr>
        <w:t>1</w:t>
      </w:r>
    </w:p>
    <w:p w14:paraId="07762AC9" w14:textId="77777777" w:rsidR="007921DD" w:rsidRPr="00226A1E" w:rsidRDefault="007921DD" w:rsidP="00226A1E">
      <w:pPr>
        <w:pStyle w:val="Corpodetexto"/>
        <w:spacing w:line="309" w:lineRule="auto"/>
        <w:ind w:left="121" w:right="318" w:firstLine="1258"/>
        <w:jc w:val="both"/>
        <w:rPr>
          <w:rFonts w:ascii="Arial" w:hAnsi="Arial" w:cs="Arial"/>
          <w:b/>
          <w:bCs/>
          <w:w w:val="110"/>
        </w:rPr>
      </w:pPr>
      <w:r w:rsidRPr="00226A1E">
        <w:rPr>
          <w:rFonts w:ascii="Arial" w:hAnsi="Arial" w:cs="Arial"/>
          <w:b/>
          <w:bCs/>
          <w:w w:val="110"/>
        </w:rPr>
        <w:t>Hely Lopes Meirelles leciona que a permissão de uso consiste em ato negocial, unilateral e precário, segundo o qual a Administração poderá facultar ao particular a utilização do bem público, de forma gratuita ou remunerada, por prazo certo ou indeterminado, conforme estabelecido no termo que poderá ser modificado ou revogado quando o interesse público exigir.</w:t>
      </w:r>
    </w:p>
    <w:p w14:paraId="5AB51252" w14:textId="2EDDA0FF" w:rsidR="007921DD" w:rsidRPr="00226A1E" w:rsidRDefault="007921DD" w:rsidP="00226A1E">
      <w:pPr>
        <w:pStyle w:val="Corpodetexto"/>
        <w:spacing w:line="309" w:lineRule="auto"/>
        <w:ind w:left="121" w:right="318" w:firstLine="1258"/>
        <w:jc w:val="both"/>
        <w:rPr>
          <w:rFonts w:ascii="Arial" w:hAnsi="Arial" w:cs="Arial"/>
          <w:b/>
          <w:bCs/>
          <w:w w:val="110"/>
        </w:rPr>
      </w:pPr>
      <w:r w:rsidRPr="00226A1E">
        <w:rPr>
          <w:rFonts w:ascii="Arial" w:hAnsi="Arial" w:cs="Arial"/>
          <w:b/>
          <w:bCs/>
          <w:w w:val="110"/>
        </w:rPr>
        <w:t xml:space="preserve"> </w:t>
      </w:r>
    </w:p>
    <w:p w14:paraId="6F8CBD49" w14:textId="09D30842" w:rsidR="007921DD" w:rsidRPr="00226A1E" w:rsidRDefault="007921DD" w:rsidP="00226A1E">
      <w:pPr>
        <w:pStyle w:val="Corpodetexto"/>
        <w:spacing w:line="309" w:lineRule="auto"/>
        <w:ind w:left="121" w:right="318" w:firstLine="1258"/>
        <w:jc w:val="both"/>
        <w:rPr>
          <w:rFonts w:ascii="Arial" w:hAnsi="Arial" w:cs="Arial"/>
          <w:b/>
          <w:bCs/>
          <w:w w:val="110"/>
        </w:rPr>
      </w:pPr>
      <w:r w:rsidRPr="00226A1E">
        <w:rPr>
          <w:rFonts w:ascii="Arial" w:hAnsi="Arial" w:cs="Arial"/>
          <w:b/>
          <w:bCs/>
          <w:w w:val="110"/>
        </w:rPr>
        <w:t xml:space="preserve">José dos Santos Carvalho Filho leciona que o instituto jurídico da permissão de uso é ato administrativo pelo qual a administração consente que certa pessoa utilize privativamente bem público, atendendo ao mesmo tempo, aos interesses público e privado. O delineamento jurídico do ato de permissão de uso guarda visível semelhança com o de autorização de uso. (...) na autorização de uso, o interesse que predomina é o privado, conquanto haja interesse público como pano de fundo. </w:t>
      </w:r>
      <w:r w:rsidRPr="00226A1E">
        <w:rPr>
          <w:rFonts w:ascii="Arial" w:hAnsi="Arial" w:cs="Arial"/>
          <w:w w:val="110"/>
        </w:rPr>
        <w:t xml:space="preserve">Na permissão de uso, os interesses são nivelados: a Administração tem algum interesse público na exploração do bem pelo particular, e este tem intuito lucrativo na utilização privativa do bem. Esse é que </w:t>
      </w:r>
      <w:proofErr w:type="gramStart"/>
      <w:r w:rsidRPr="00226A1E">
        <w:rPr>
          <w:rFonts w:ascii="Arial" w:hAnsi="Arial" w:cs="Arial"/>
          <w:w w:val="110"/>
        </w:rPr>
        <w:t>nos parecer</w:t>
      </w:r>
      <w:proofErr w:type="gramEnd"/>
      <w:r w:rsidRPr="00226A1E">
        <w:rPr>
          <w:rFonts w:ascii="Arial" w:hAnsi="Arial" w:cs="Arial"/>
          <w:w w:val="110"/>
        </w:rPr>
        <w:t xml:space="preserve"> ser o ponto distintivo. </w:t>
      </w:r>
      <w:r w:rsidRPr="00226A1E">
        <w:rPr>
          <w:rFonts w:ascii="Arial" w:hAnsi="Arial" w:cs="Arial"/>
          <w:b/>
          <w:bCs/>
          <w:w w:val="110"/>
        </w:rPr>
        <w:t>Quando ao resto, são idênticas as características. Trata-se de ato unilateral, discricionário e precário (...).</w:t>
      </w:r>
    </w:p>
    <w:p w14:paraId="7FF0910F" w14:textId="77777777" w:rsidR="007921DD" w:rsidRPr="00226A1E" w:rsidRDefault="007921DD" w:rsidP="00226A1E">
      <w:pPr>
        <w:pStyle w:val="Corpodetexto"/>
        <w:spacing w:line="309" w:lineRule="auto"/>
        <w:ind w:left="121" w:right="318" w:firstLine="1258"/>
        <w:jc w:val="both"/>
        <w:rPr>
          <w:rFonts w:ascii="Arial" w:hAnsi="Arial" w:cs="Arial"/>
          <w:b/>
          <w:bCs/>
          <w:w w:val="110"/>
        </w:rPr>
      </w:pPr>
    </w:p>
    <w:p w14:paraId="05469023" w14:textId="1EBCBC2D" w:rsidR="007921DD" w:rsidRPr="00226A1E" w:rsidRDefault="007921DD" w:rsidP="00226A1E">
      <w:pPr>
        <w:pStyle w:val="Corpodetexto"/>
        <w:spacing w:line="309" w:lineRule="auto"/>
        <w:ind w:left="121" w:right="318" w:firstLine="1258"/>
        <w:jc w:val="both"/>
        <w:rPr>
          <w:rFonts w:ascii="Arial" w:hAnsi="Arial" w:cs="Arial"/>
          <w:w w:val="110"/>
        </w:rPr>
      </w:pPr>
      <w:r w:rsidRPr="00226A1E">
        <w:rPr>
          <w:rFonts w:ascii="Arial" w:hAnsi="Arial" w:cs="Arial"/>
          <w:b/>
          <w:bCs/>
          <w:w w:val="110"/>
        </w:rPr>
        <w:lastRenderedPageBreak/>
        <w:t xml:space="preserve">A competência para disciplinar sobre o assunto é local (Estadual ou Municipal, conforme o caso), ou seja, a permissão de uso de bem público não está subordinada à Lei de Licitações (nº 8.666/93) e nem à Lei das Concessões e Permissões de serviço público </w:t>
      </w:r>
      <w:proofErr w:type="gramStart"/>
      <w:r w:rsidRPr="00226A1E">
        <w:rPr>
          <w:rFonts w:ascii="Arial" w:hAnsi="Arial" w:cs="Arial"/>
          <w:b/>
          <w:bCs/>
          <w:w w:val="110"/>
        </w:rPr>
        <w:t>( nº</w:t>
      </w:r>
      <w:proofErr w:type="gramEnd"/>
      <w:r w:rsidRPr="00226A1E">
        <w:rPr>
          <w:rFonts w:ascii="Arial" w:hAnsi="Arial" w:cs="Arial"/>
          <w:b/>
          <w:bCs/>
          <w:w w:val="110"/>
        </w:rPr>
        <w:t xml:space="preserve"> 8.987/95). </w:t>
      </w:r>
      <w:r w:rsidRPr="00226A1E">
        <w:rPr>
          <w:rFonts w:ascii="Arial" w:hAnsi="Arial" w:cs="Arial"/>
          <w:w w:val="110"/>
        </w:rPr>
        <w:t>Nesse sentido, somente as normas locais poderão determinar a obrigatoriedade ou não de prévia licitação para escolha do permissionário.</w:t>
      </w:r>
    </w:p>
    <w:p w14:paraId="498BD0A1" w14:textId="77777777" w:rsidR="007921DD" w:rsidRPr="00226A1E" w:rsidRDefault="007921DD" w:rsidP="00226A1E">
      <w:pPr>
        <w:pStyle w:val="Corpodetexto"/>
        <w:spacing w:line="309" w:lineRule="auto"/>
        <w:ind w:left="121" w:right="318" w:firstLine="1258"/>
        <w:jc w:val="both"/>
        <w:rPr>
          <w:rFonts w:ascii="Arial" w:hAnsi="Arial" w:cs="Arial"/>
          <w:b/>
          <w:bCs/>
          <w:w w:val="110"/>
        </w:rPr>
      </w:pPr>
    </w:p>
    <w:p w14:paraId="7F143081" w14:textId="13CF98DE" w:rsidR="007921DD" w:rsidRPr="00226A1E" w:rsidRDefault="007921DD" w:rsidP="00226A1E">
      <w:pPr>
        <w:pStyle w:val="Corpodetexto"/>
        <w:spacing w:line="309" w:lineRule="auto"/>
        <w:ind w:left="121" w:right="318" w:firstLine="1258"/>
        <w:jc w:val="both"/>
        <w:rPr>
          <w:rFonts w:ascii="Arial" w:hAnsi="Arial" w:cs="Arial"/>
          <w:b/>
          <w:bCs/>
          <w:w w:val="110"/>
        </w:rPr>
      </w:pPr>
      <w:r w:rsidRPr="00226A1E">
        <w:rPr>
          <w:rFonts w:ascii="Arial" w:hAnsi="Arial" w:cs="Arial"/>
          <w:b/>
          <w:bCs/>
          <w:w w:val="110"/>
        </w:rPr>
        <w:t>O STJ</w:t>
      </w:r>
      <w:bookmarkStart w:id="6" w:name="_ftnref3"/>
      <w:r w:rsidRPr="00226A1E">
        <w:rPr>
          <w:rFonts w:ascii="Arial" w:hAnsi="Arial" w:cs="Arial"/>
          <w:b/>
          <w:bCs/>
          <w:w w:val="110"/>
        </w:rPr>
        <w:fldChar w:fldCharType="begin"/>
      </w:r>
      <w:r w:rsidRPr="00226A1E">
        <w:rPr>
          <w:rFonts w:ascii="Arial" w:hAnsi="Arial" w:cs="Arial"/>
          <w:b/>
          <w:bCs/>
          <w:w w:val="110"/>
        </w:rPr>
        <w:instrText xml:space="preserve"> HYPERLINK "https://www.camaraguaiba.rs.gov.br/portal/tramitacao.texto.php?id=109182&amp;md5=41556e2ebcd96ecbaeeedb84a4486fd3" \l "_ftn3" </w:instrText>
      </w:r>
      <w:r w:rsidRPr="00226A1E">
        <w:rPr>
          <w:rFonts w:ascii="Arial" w:hAnsi="Arial" w:cs="Arial"/>
          <w:b/>
          <w:bCs/>
          <w:w w:val="110"/>
        </w:rPr>
        <w:fldChar w:fldCharType="separate"/>
      </w:r>
      <w:r w:rsidRPr="00226A1E">
        <w:rPr>
          <w:rFonts w:ascii="Arial" w:hAnsi="Arial" w:cs="Arial"/>
          <w:b/>
          <w:bCs/>
          <w:w w:val="110"/>
        </w:rPr>
        <w:t>[3]</w:t>
      </w:r>
      <w:r w:rsidRPr="00226A1E">
        <w:rPr>
          <w:rFonts w:ascii="Arial" w:hAnsi="Arial" w:cs="Arial"/>
          <w:b/>
          <w:bCs/>
          <w:w w:val="110"/>
        </w:rPr>
        <w:fldChar w:fldCharType="end"/>
      </w:r>
      <w:bookmarkEnd w:id="6"/>
      <w:r w:rsidRPr="00226A1E">
        <w:rPr>
          <w:rFonts w:ascii="Arial" w:hAnsi="Arial" w:cs="Arial"/>
          <w:b/>
          <w:bCs/>
          <w:w w:val="110"/>
        </w:rPr>
        <w:t xml:space="preserve"> (RMS 16280/RJ) também estabeleceu que o ato administrativo de permissão de uso de imóvel municipal por particular possui natureza precária e discricionária, podendo ser cancelada a qualquer momento:</w:t>
      </w:r>
    </w:p>
    <w:p w14:paraId="1E28311A" w14:textId="77777777" w:rsidR="007921DD" w:rsidRDefault="007921DD" w:rsidP="007921DD">
      <w:pPr>
        <w:pStyle w:val="NormalWeb"/>
        <w:jc w:val="both"/>
      </w:pPr>
    </w:p>
    <w:p w14:paraId="4495C1FE" w14:textId="06F06B9F" w:rsidR="007921DD" w:rsidRPr="00226A1E" w:rsidRDefault="007921DD" w:rsidP="00226A1E">
      <w:pPr>
        <w:pStyle w:val="Corpodetexto"/>
        <w:spacing w:line="309" w:lineRule="auto"/>
        <w:ind w:left="121" w:right="318" w:firstLine="1258"/>
        <w:jc w:val="both"/>
        <w:rPr>
          <w:rFonts w:ascii="Arial" w:hAnsi="Arial" w:cs="Arial"/>
          <w:b/>
          <w:bCs/>
          <w:w w:val="110"/>
        </w:rPr>
      </w:pPr>
      <w:r w:rsidRPr="00226A1E">
        <w:rPr>
          <w:rFonts w:ascii="Arial" w:hAnsi="Arial" w:cs="Arial"/>
          <w:b/>
          <w:bCs/>
          <w:w w:val="110"/>
        </w:rPr>
        <w:t xml:space="preserve">“Processual Civil. Recurso Ordinário em Mandado de Segurança. Ato Administrativo. </w:t>
      </w:r>
      <w:r w:rsidRPr="00226A1E">
        <w:rPr>
          <w:rFonts w:ascii="Arial" w:hAnsi="Arial" w:cs="Arial"/>
          <w:w w:val="110"/>
        </w:rPr>
        <w:t>Permissão de uso de imóvel municipal por particular. Natureza precária e discricionária. Possibilidade de cancelamento.</w:t>
      </w:r>
      <w:r w:rsidRPr="00226A1E">
        <w:rPr>
          <w:rFonts w:ascii="Arial" w:hAnsi="Arial" w:cs="Arial"/>
          <w:b/>
          <w:bCs/>
          <w:w w:val="110"/>
        </w:rPr>
        <w:t xml:space="preserve"> Previsão contratual. Ausência de direito líquido e certo. 1. A autorização de uso de imóvel municipal por particular é ato unilateral da Administração Pública, de natureza discricionária, precária, através do qual </w:t>
      </w:r>
      <w:proofErr w:type="spellStart"/>
      <w:r w:rsidRPr="00226A1E">
        <w:rPr>
          <w:rFonts w:ascii="Arial" w:hAnsi="Arial" w:cs="Arial"/>
          <w:b/>
          <w:bCs/>
          <w:w w:val="110"/>
        </w:rPr>
        <w:t>esta</w:t>
      </w:r>
      <w:proofErr w:type="spellEnd"/>
      <w:r w:rsidRPr="00226A1E">
        <w:rPr>
          <w:rFonts w:ascii="Arial" w:hAnsi="Arial" w:cs="Arial"/>
          <w:b/>
          <w:bCs/>
          <w:w w:val="110"/>
        </w:rPr>
        <w:t xml:space="preserve"> consente na prática de determinada atividade individual incidente sobre um bem público. Trata-se, portanto, de ato revogável, sumariamente, a qualquer tempo, e sem ônus para o Poder Público. 2. Como a Administração Pública Municipal não mais consente a permanência da impetrante no local, a autorização perdeu sua eficácia. Logo, não há direito líquido e certo a ser tutelado na hipótese dos autos. 3. Comprovação nos autos da existência de previsão contratual no tocante ao cancelamento da permissão debatida. 4. Recurso não provido.” STJ. Rel. José Delgado, RMS 16280/RJ, 1ª T., DJ 19 abr. 2004.</w:t>
      </w:r>
    </w:p>
    <w:p w14:paraId="505D5694" w14:textId="77777777" w:rsidR="007921DD" w:rsidRPr="00226A1E" w:rsidRDefault="007921DD" w:rsidP="00226A1E">
      <w:pPr>
        <w:pStyle w:val="Corpodetexto"/>
        <w:spacing w:line="309" w:lineRule="auto"/>
        <w:ind w:left="121" w:right="318" w:firstLine="1258"/>
        <w:jc w:val="both"/>
        <w:rPr>
          <w:rFonts w:ascii="Arial" w:hAnsi="Arial" w:cs="Arial"/>
          <w:b/>
          <w:bCs/>
          <w:w w:val="110"/>
        </w:rPr>
      </w:pPr>
    </w:p>
    <w:p w14:paraId="4040144D" w14:textId="27CF3EDD" w:rsidR="007921DD" w:rsidRPr="00226A1E" w:rsidRDefault="007921DD" w:rsidP="00226A1E">
      <w:pPr>
        <w:pStyle w:val="Corpodetexto"/>
        <w:spacing w:line="309" w:lineRule="auto"/>
        <w:ind w:left="121" w:right="318" w:firstLine="1258"/>
        <w:jc w:val="both"/>
        <w:rPr>
          <w:rFonts w:ascii="Arial" w:hAnsi="Arial" w:cs="Arial"/>
          <w:b/>
          <w:bCs/>
          <w:w w:val="110"/>
        </w:rPr>
      </w:pPr>
      <w:r w:rsidRPr="00226A1E">
        <w:rPr>
          <w:rFonts w:ascii="Arial" w:hAnsi="Arial" w:cs="Arial"/>
          <w:b/>
          <w:bCs/>
          <w:w w:val="110"/>
        </w:rPr>
        <w:t>A Jurisprudência do Tribunal de Justiça de Santa Catarina parece comungar do mesmo entendimento, consoante dos acórdãos a seguir ementados:</w:t>
      </w:r>
    </w:p>
    <w:p w14:paraId="54AB689E" w14:textId="77777777" w:rsidR="007921DD" w:rsidRPr="00226A1E" w:rsidRDefault="007921DD" w:rsidP="00226A1E">
      <w:pPr>
        <w:pStyle w:val="Corpodetexto"/>
        <w:spacing w:line="309" w:lineRule="auto"/>
        <w:ind w:left="121" w:right="318" w:firstLine="1258"/>
        <w:jc w:val="both"/>
        <w:rPr>
          <w:rFonts w:ascii="Arial" w:hAnsi="Arial" w:cs="Arial"/>
          <w:b/>
          <w:bCs/>
          <w:w w:val="110"/>
        </w:rPr>
      </w:pPr>
    </w:p>
    <w:p w14:paraId="75579E71" w14:textId="4ED9686A" w:rsidR="007921DD" w:rsidRDefault="007921DD" w:rsidP="007921DD">
      <w:pPr>
        <w:pStyle w:val="NormalWeb"/>
        <w:ind w:left="2124"/>
        <w:jc w:val="both"/>
      </w:pPr>
      <w:r>
        <w:lastRenderedPageBreak/>
        <w:t>EMENTA: DESOCUPAÇÃO DE ESPAÇO PÚBLICO - FARMÁCIA INSTALADA EM TERMINAL RODOVIÁRIO - PERMISSÃO DE USO - ATO NEGOCIAL UNILATERAL, DISCRICIONÁRIO E PRECÁRIO - PRORROGAÇÃO INDEFERIDA POR RAZÕES DE CONVENIÊNCIA E OPORTUNIDADE INVOCADAS PELO ÓRGÃO ADMINISTRATIVO RESPONSÁVEL - ATENDIMENTO DE INTERESSE PÚBLICO - RECURSO E REEXAME DESPROVIDOS. "A permissão de uso de espaço público, concedida ao particular, o é a título precário, podendo ser revogada a qualquer tempo pela Administração, justamente por ser ato administrativo, o que em absoluto pode ser confundido com o contrato de locação. O ato em análise, assim, tem como características a unilateralidade, no sentido de suficiência da vontade da Administração e o privilégio do interesse privado por razões de oportunidade e conveniência, ou seja, a lei faculta àquela reaver, a qualquer tempo, o bem público que permitiu ou autorizou o uso para o particular, sem que sejam necessárias quaisquer justificativas" (Apelação cível 00.004566-7. Relator: Des. Francisco Oliveira Filho. Data da Decisão: 30/08/2001).</w:t>
      </w:r>
    </w:p>
    <w:p w14:paraId="05877D62" w14:textId="77777777" w:rsidR="007921DD" w:rsidRDefault="007921DD" w:rsidP="007921DD">
      <w:pPr>
        <w:pStyle w:val="NormalWeb"/>
        <w:jc w:val="both"/>
      </w:pPr>
    </w:p>
    <w:p w14:paraId="3D665867" w14:textId="25C3B3EC" w:rsidR="007921DD" w:rsidRDefault="007921DD" w:rsidP="007921DD">
      <w:pPr>
        <w:pStyle w:val="NormalWeb"/>
        <w:ind w:left="2124"/>
        <w:jc w:val="both"/>
      </w:pPr>
      <w:r>
        <w:t xml:space="preserve">EMENTA: APELAÇÃO CÍVEL - ESTABELECIMENTO COMERCIAL EM TERMINAL RODOVIÁRIO - PERMISSÃO DE USO DE BEM PÚBLICO - PRECARIEDADE - DESPROVIMENTO DO RECURSO "Permissão de uso é o ato negocial, unilateral, discricionário e precário através do qual a Administração faculta ao particular a utilização individual de determinado bem público. Como ato negocial (TJSP, RJTJSP 124/202), pode ser com ou sem condições, gratuito ou remunerado, por tempo certo ou indeterminado, conforme estabelecido no termo próprio, mas sempre modificável e revogável unilateralmente pela Administração, quando o interesse público o exigir, dados sua natureza precária e o poder discricionário do </w:t>
      </w:r>
      <w:proofErr w:type="spellStart"/>
      <w:r>
        <w:t>permitente</w:t>
      </w:r>
      <w:proofErr w:type="spellEnd"/>
      <w:r>
        <w:t xml:space="preserve"> para consentir e retirar o uso especial do bem público. A revogação faz-se, em geral, sem indenização, salvo se em contrário se dispuser, pois a regra é a revogabilidade sem ônus para a Administração. O ato da revogação deve ser idêntico ao do deferimento da permissão e atender às condições nele previstas". (MEIRELLES, Hely Lopes. Direito Administrativo Brasileiro. 26 ed. São Paulo: Malheiros Editores, 2001 p. 486) (Apelação Cível 2000.022066-3. Relator: Des. Luiz Cézar Medeiros. Data da Decisão: 20/09/2001).</w:t>
      </w:r>
    </w:p>
    <w:p w14:paraId="5FDA367B" w14:textId="77777777" w:rsidR="007921DD" w:rsidRDefault="007921DD" w:rsidP="007921DD">
      <w:pPr>
        <w:pStyle w:val="NormalWeb"/>
        <w:jc w:val="both"/>
      </w:pPr>
    </w:p>
    <w:p w14:paraId="1A5A2AEE" w14:textId="5168ED0A" w:rsidR="007921DD" w:rsidRPr="00226A1E" w:rsidRDefault="007921DD" w:rsidP="00226A1E">
      <w:pPr>
        <w:pStyle w:val="Corpodetexto"/>
        <w:spacing w:line="309" w:lineRule="auto"/>
        <w:ind w:left="121" w:right="318" w:firstLine="1258"/>
        <w:jc w:val="both"/>
        <w:rPr>
          <w:rFonts w:ascii="Arial" w:hAnsi="Arial" w:cs="Arial"/>
          <w:b/>
          <w:bCs/>
          <w:w w:val="110"/>
        </w:rPr>
      </w:pPr>
      <w:r w:rsidRPr="00226A1E">
        <w:rPr>
          <w:rFonts w:ascii="Arial" w:hAnsi="Arial" w:cs="Arial"/>
          <w:w w:val="110"/>
        </w:rPr>
        <w:t>Aponte-se, contudo, que por outro lado alguns Tribunais têm exigido que o ato revogador tenha motivo bem definido e claro a fim de não mascarar possível desvio de finalidade em prejuízo do permissionário</w:t>
      </w:r>
      <w:r w:rsidRPr="00226A1E">
        <w:rPr>
          <w:rFonts w:ascii="Arial" w:hAnsi="Arial" w:cs="Arial"/>
          <w:b/>
          <w:bCs/>
          <w:w w:val="110"/>
        </w:rPr>
        <w:t xml:space="preserve"> (TJ-MG </w:t>
      </w:r>
      <w:proofErr w:type="spellStart"/>
      <w:r w:rsidRPr="00226A1E">
        <w:rPr>
          <w:rFonts w:ascii="Arial" w:hAnsi="Arial" w:cs="Arial"/>
          <w:b/>
          <w:bCs/>
          <w:w w:val="110"/>
        </w:rPr>
        <w:t>ApCív</w:t>
      </w:r>
      <w:proofErr w:type="spellEnd"/>
      <w:r w:rsidRPr="00226A1E">
        <w:rPr>
          <w:rFonts w:ascii="Arial" w:hAnsi="Arial" w:cs="Arial"/>
          <w:b/>
          <w:bCs/>
          <w:w w:val="110"/>
        </w:rPr>
        <w:t xml:space="preserve"> nº 76.179, 1ª </w:t>
      </w:r>
      <w:proofErr w:type="spellStart"/>
      <w:r w:rsidRPr="00226A1E">
        <w:rPr>
          <w:rFonts w:ascii="Arial" w:hAnsi="Arial" w:cs="Arial"/>
          <w:b/>
          <w:bCs/>
          <w:w w:val="110"/>
        </w:rPr>
        <w:t>CCív</w:t>
      </w:r>
      <w:proofErr w:type="spellEnd"/>
      <w:r w:rsidRPr="00226A1E">
        <w:rPr>
          <w:rFonts w:ascii="Arial" w:hAnsi="Arial" w:cs="Arial"/>
          <w:b/>
          <w:bCs/>
          <w:w w:val="110"/>
        </w:rPr>
        <w:t>, Rel. Des. Paulo Tinoco).</w:t>
      </w:r>
    </w:p>
    <w:p w14:paraId="415A891A" w14:textId="77777777" w:rsidR="007921DD" w:rsidRPr="00226A1E" w:rsidRDefault="007921DD" w:rsidP="00226A1E">
      <w:pPr>
        <w:pStyle w:val="Corpodetexto"/>
        <w:spacing w:line="309" w:lineRule="auto"/>
        <w:ind w:left="121" w:right="318" w:firstLine="1258"/>
        <w:jc w:val="both"/>
        <w:rPr>
          <w:rFonts w:ascii="Arial" w:hAnsi="Arial" w:cs="Arial"/>
          <w:b/>
          <w:bCs/>
          <w:w w:val="110"/>
        </w:rPr>
      </w:pPr>
    </w:p>
    <w:p w14:paraId="102DB931" w14:textId="494A7692" w:rsidR="007921DD" w:rsidRPr="00226A1E" w:rsidRDefault="007921DD" w:rsidP="00226A1E">
      <w:pPr>
        <w:pStyle w:val="Corpodetexto"/>
        <w:spacing w:line="309" w:lineRule="auto"/>
        <w:ind w:left="121" w:right="318" w:firstLine="1258"/>
        <w:jc w:val="both"/>
        <w:rPr>
          <w:rFonts w:ascii="Arial" w:hAnsi="Arial" w:cs="Arial"/>
          <w:b/>
          <w:bCs/>
          <w:w w:val="110"/>
        </w:rPr>
      </w:pPr>
      <w:r w:rsidRPr="00226A1E">
        <w:rPr>
          <w:rFonts w:ascii="Arial" w:hAnsi="Arial" w:cs="Arial"/>
          <w:b/>
          <w:bCs/>
          <w:w w:val="110"/>
        </w:rPr>
        <w:t>Como o ordenamento jurídico não delimitou expressamente as delimitações do instituto, a não ser, via de regra, disposições elencadas nas Leis Orgânicas Municipais, é de enorme valia a contribuição doutrinária a respeito da permissão de uso. Di Pietro, por exemplo, leciona as peculiaridades do instrumento em tela:</w:t>
      </w:r>
    </w:p>
    <w:p w14:paraId="48B3ADDC" w14:textId="77777777" w:rsidR="007921DD" w:rsidRDefault="007921DD" w:rsidP="007921DD">
      <w:pPr>
        <w:pStyle w:val="NormalWeb"/>
        <w:jc w:val="both"/>
      </w:pPr>
    </w:p>
    <w:p w14:paraId="45264047" w14:textId="3A09B8C5" w:rsidR="007921DD" w:rsidRDefault="007921DD" w:rsidP="007921DD">
      <w:pPr>
        <w:pStyle w:val="NormalWeb"/>
        <w:ind w:left="2124"/>
        <w:jc w:val="both"/>
      </w:pPr>
      <w:r>
        <w:t xml:space="preserve">“Aliás, o fato de tratar-se de bem destinado, por sua natureza ou destinação legal, ao uso coletivo, impede que o uso privativo seja permitido ou autorizado para fins de interesse exclusivo do particular; embora seja assegurada, com a permissão, determinada vantagem ao usuário, não auferida pela generalidade dos indivíduos, </w:t>
      </w:r>
      <w:r>
        <w:rPr>
          <w:rStyle w:val="Forte"/>
        </w:rPr>
        <w:t>o uso por ele exercido deve proporcionar algum benefício de caráter geral</w:t>
      </w:r>
      <w:r>
        <w:t xml:space="preserve">. </w:t>
      </w:r>
      <w:r>
        <w:rPr>
          <w:rStyle w:val="Forte"/>
        </w:rPr>
        <w:t>Por essa razão, também, embora o vocábulo permissão dê a ideia de faculdade que pode ser ou não exercida, na realidade o permissionário se obriga a utilizar o bem para o fim predeterminado, sob pena de, não o fazendo, ser-lhe retirado a permissão</w:t>
      </w:r>
      <w:r>
        <w:t>. (2018, p. 869).</w:t>
      </w:r>
    </w:p>
    <w:p w14:paraId="149883EC" w14:textId="77777777" w:rsidR="007921DD" w:rsidRDefault="007921DD" w:rsidP="007921DD">
      <w:pPr>
        <w:pStyle w:val="NormalWeb"/>
        <w:jc w:val="both"/>
      </w:pPr>
    </w:p>
    <w:p w14:paraId="51BC3C32" w14:textId="77777777" w:rsidR="00226A1E" w:rsidRPr="00226A1E" w:rsidRDefault="007921DD" w:rsidP="00226A1E">
      <w:pPr>
        <w:pStyle w:val="Corpodetexto"/>
        <w:spacing w:line="309" w:lineRule="auto"/>
        <w:ind w:left="121" w:right="318" w:firstLine="1258"/>
        <w:jc w:val="both"/>
        <w:rPr>
          <w:rFonts w:ascii="Arial" w:hAnsi="Arial" w:cs="Arial"/>
          <w:b/>
          <w:bCs/>
          <w:w w:val="110"/>
        </w:rPr>
      </w:pPr>
      <w:r w:rsidRPr="00226A1E">
        <w:rPr>
          <w:rFonts w:ascii="Arial" w:hAnsi="Arial" w:cs="Arial"/>
          <w:b/>
          <w:bCs/>
          <w:w w:val="110"/>
        </w:rPr>
        <w:t>Já José dos Santos Carvalho Filho (2012, p. 1159), leciona que</w:t>
      </w:r>
    </w:p>
    <w:p w14:paraId="5EFFB2E3" w14:textId="77777777" w:rsidR="00226A1E" w:rsidRDefault="00226A1E" w:rsidP="007921DD">
      <w:pPr>
        <w:pStyle w:val="NormalWeb"/>
        <w:jc w:val="both"/>
      </w:pPr>
    </w:p>
    <w:p w14:paraId="677CB576" w14:textId="127EA275" w:rsidR="007921DD" w:rsidRDefault="007921DD" w:rsidP="00226A1E">
      <w:pPr>
        <w:pStyle w:val="NormalWeb"/>
        <w:ind w:left="2124"/>
        <w:jc w:val="both"/>
      </w:pPr>
      <w:r>
        <w:t xml:space="preserve">“o ato de permissão de uso é praticado </w:t>
      </w:r>
      <w:proofErr w:type="spellStart"/>
      <w:r>
        <w:rPr>
          <w:rStyle w:val="nfase"/>
        </w:rPr>
        <w:t>intuitu</w:t>
      </w:r>
      <w:proofErr w:type="spellEnd"/>
      <w:r>
        <w:rPr>
          <w:rStyle w:val="nfase"/>
        </w:rPr>
        <w:t xml:space="preserve"> personae</w:t>
      </w:r>
      <w:r>
        <w:t xml:space="preserve">, razão por que sua transferência a terceiros só se legitima se houver consentimento expresso da entidade pertinente”, o que acarreta a prática de um novo ato, diferente do ato anterior que favorecia outro sujeito. Já Marçal </w:t>
      </w:r>
      <w:proofErr w:type="spellStart"/>
      <w:r>
        <w:t>Justen</w:t>
      </w:r>
      <w:proofErr w:type="spellEnd"/>
      <w:r>
        <w:t xml:space="preserve"> Filho (2005, p. 724) discorre em sua obra sobre exemplos de permissão de uso de imóveis públicos, dentre os quais a utilização da via pública (bem de uso comum) ou de área num prédio público (bem de uso especial) para implantação de empreendimento comercial como bancas de revistas, restaurantes, lanchonetes, etc.</w:t>
      </w:r>
    </w:p>
    <w:p w14:paraId="364A6F9F" w14:textId="1F2B1CE0" w:rsidR="007921DD" w:rsidRDefault="007921DD" w:rsidP="00226A1E">
      <w:pPr>
        <w:pStyle w:val="NormalWeb"/>
        <w:ind w:left="2124"/>
        <w:jc w:val="both"/>
      </w:pPr>
      <w:r>
        <w:t>Direito Administrativo Brasileiro, Malheiros Editores, 38ª edição, 2011, pág.584</w:t>
      </w:r>
    </w:p>
    <w:p w14:paraId="60A8F4FC" w14:textId="2C7E9429" w:rsidR="007921DD" w:rsidRDefault="00226A1E" w:rsidP="00226A1E">
      <w:pPr>
        <w:pStyle w:val="NormalWeb"/>
        <w:ind w:left="2124"/>
        <w:jc w:val="both"/>
      </w:pPr>
      <w:r>
        <w:t xml:space="preserve"> </w:t>
      </w:r>
      <w:r w:rsidR="007921DD">
        <w:t xml:space="preserve">(CARVALHO FILHO, José dos Santos. Manual de Direito Administrativo. 17ª Ed. Rio de Janeiro: </w:t>
      </w:r>
      <w:proofErr w:type="spellStart"/>
      <w:r w:rsidR="007921DD">
        <w:t>Lumen</w:t>
      </w:r>
      <w:proofErr w:type="spellEnd"/>
      <w:r w:rsidR="007921DD">
        <w:t xml:space="preserve"> Juris, 2007. p. 994-995)</w:t>
      </w:r>
    </w:p>
    <w:p w14:paraId="4CCB59AA" w14:textId="0CBDADC6" w:rsidR="007921DD" w:rsidRDefault="007921DD" w:rsidP="00226A1E">
      <w:pPr>
        <w:pStyle w:val="NormalWeb"/>
        <w:ind w:left="2124"/>
        <w:jc w:val="both"/>
      </w:pPr>
      <w:r>
        <w:t>STJ. Rel. José Delgado, RMS 16280/RJ, 1ª T., DJ 19 abr. 2004, p. 154.</w:t>
      </w:r>
    </w:p>
    <w:p w14:paraId="303B9ABD" w14:textId="77777777" w:rsidR="007921DD" w:rsidRDefault="007921DD" w:rsidP="007921DD">
      <w:pPr>
        <w:pStyle w:val="NormalWeb"/>
        <w:jc w:val="both"/>
      </w:pPr>
    </w:p>
    <w:p w14:paraId="05E3FBD0" w14:textId="77777777" w:rsidR="007921DD" w:rsidRDefault="007921DD" w:rsidP="001E116B">
      <w:pPr>
        <w:tabs>
          <w:tab w:val="left" w:pos="1455"/>
        </w:tabs>
        <w:spacing w:line="360" w:lineRule="auto"/>
        <w:ind w:firstLine="1410"/>
        <w:jc w:val="both"/>
        <w:rPr>
          <w:rFonts w:ascii="Arial Narrow" w:hAnsi="Arial Narrow" w:cs="Arial"/>
          <w:b/>
          <w:bCs/>
          <w:u w:val="single"/>
          <w:lang w:eastAsia="ar-SA"/>
        </w:rPr>
      </w:pPr>
    </w:p>
    <w:p w14:paraId="77018B1C" w14:textId="60CBED72" w:rsidR="000D4ADA" w:rsidRPr="000D4ADA" w:rsidRDefault="000D4ADA" w:rsidP="000D4ADA">
      <w:pPr>
        <w:jc w:val="both"/>
        <w:rPr>
          <w:rFonts w:ascii="Arial" w:hAnsi="Arial" w:cs="Arial"/>
          <w:lang w:eastAsia="ar-SA"/>
        </w:rPr>
      </w:pPr>
      <w:r>
        <w:rPr>
          <w:rFonts w:ascii="Arial" w:hAnsi="Arial" w:cs="Arial"/>
          <w:lang w:eastAsia="ar-SA"/>
        </w:rPr>
        <w:t xml:space="preserve">                       </w:t>
      </w:r>
      <w:r w:rsidRPr="000D4ADA">
        <w:rPr>
          <w:rFonts w:ascii="Arial" w:hAnsi="Arial" w:cs="Arial"/>
          <w:lang w:eastAsia="ar-SA"/>
        </w:rPr>
        <w:t>Em suma, sob o prisma jurídico, o projeto é constitucional, posto que, conforme já dito, trata de matéria cuja competência é do Chefe do Executivo,</w:t>
      </w:r>
      <w:r w:rsidR="00226A1E">
        <w:rPr>
          <w:rFonts w:ascii="Arial" w:hAnsi="Arial" w:cs="Arial"/>
          <w:lang w:eastAsia="ar-SA"/>
        </w:rPr>
        <w:t xml:space="preserve"> não </w:t>
      </w:r>
      <w:r w:rsidR="00226A1E" w:rsidRPr="000D4ADA">
        <w:rPr>
          <w:rFonts w:ascii="Arial" w:hAnsi="Arial" w:cs="Arial"/>
          <w:lang w:eastAsia="ar-SA"/>
        </w:rPr>
        <w:lastRenderedPageBreak/>
        <w:t>contendo</w:t>
      </w:r>
      <w:r w:rsidRPr="000D4ADA">
        <w:rPr>
          <w:rFonts w:ascii="Arial" w:hAnsi="Arial" w:cs="Arial"/>
          <w:lang w:eastAsia="ar-SA"/>
        </w:rPr>
        <w:t>, assim, vício</w:t>
      </w:r>
      <w:r w:rsidR="00226A1E">
        <w:rPr>
          <w:rFonts w:ascii="Arial" w:hAnsi="Arial" w:cs="Arial"/>
          <w:lang w:eastAsia="ar-SA"/>
        </w:rPr>
        <w:t>s que maculam sua regular tramitação</w:t>
      </w:r>
      <w:r w:rsidRPr="000D4ADA">
        <w:rPr>
          <w:rFonts w:ascii="Arial" w:hAnsi="Arial" w:cs="Arial"/>
          <w:lang w:eastAsia="ar-SA"/>
        </w:rPr>
        <w:t>, atingindo o princípio da separação dos Poderes.</w:t>
      </w:r>
    </w:p>
    <w:p w14:paraId="11429893" w14:textId="77777777" w:rsidR="000D4ADA" w:rsidRPr="000D4ADA" w:rsidRDefault="000D4ADA" w:rsidP="000D4ADA">
      <w:pPr>
        <w:jc w:val="both"/>
        <w:rPr>
          <w:rFonts w:ascii="Arial" w:hAnsi="Arial" w:cs="Arial"/>
          <w:lang w:eastAsia="ar-SA"/>
        </w:rPr>
      </w:pPr>
    </w:p>
    <w:p w14:paraId="61AE4F11" w14:textId="77777777" w:rsidR="000D4ADA" w:rsidRDefault="000D4ADA" w:rsidP="000D4ADA">
      <w:pPr>
        <w:jc w:val="both"/>
        <w:rPr>
          <w:rFonts w:ascii="Arial" w:hAnsi="Arial" w:cs="Arial"/>
          <w:lang w:eastAsia="ar-SA"/>
        </w:rPr>
      </w:pPr>
    </w:p>
    <w:p w14:paraId="104E0E35" w14:textId="77777777" w:rsidR="000D4ADA" w:rsidRDefault="000D4ADA" w:rsidP="000D4ADA">
      <w:pPr>
        <w:jc w:val="both"/>
        <w:rPr>
          <w:rFonts w:ascii="Arial" w:hAnsi="Arial" w:cs="Arial"/>
          <w:lang w:eastAsia="ar-SA"/>
        </w:rPr>
      </w:pPr>
    </w:p>
    <w:p w14:paraId="42E40C5B" w14:textId="771C35EF" w:rsidR="000D4ADA" w:rsidRPr="000D4ADA" w:rsidRDefault="000D4ADA" w:rsidP="000D4ADA">
      <w:pPr>
        <w:jc w:val="both"/>
        <w:rPr>
          <w:rFonts w:ascii="Arial" w:hAnsi="Arial" w:cs="Arial"/>
          <w:lang w:eastAsia="ar-SA"/>
        </w:rPr>
      </w:pPr>
      <w:r w:rsidRPr="000D4ADA">
        <w:rPr>
          <w:rFonts w:ascii="Arial" w:hAnsi="Arial" w:cs="Arial"/>
          <w:lang w:eastAsia="ar-SA"/>
        </w:rPr>
        <w:t>Relativamente</w:t>
      </w:r>
      <w:r w:rsidRPr="000D4ADA">
        <w:rPr>
          <w:rFonts w:ascii="Arial" w:hAnsi="Arial" w:cs="Arial"/>
          <w:lang w:eastAsia="ar-SA"/>
        </w:rPr>
        <w:tab/>
        <w:t>ao</w:t>
      </w:r>
      <w:r w:rsidRPr="000D4ADA">
        <w:rPr>
          <w:rFonts w:ascii="Arial" w:hAnsi="Arial" w:cs="Arial"/>
          <w:lang w:eastAsia="ar-SA"/>
        </w:rPr>
        <w:tab/>
        <w:t>quesito</w:t>
      </w:r>
      <w:r w:rsidRPr="000D4ADA">
        <w:rPr>
          <w:rFonts w:ascii="Arial" w:hAnsi="Arial" w:cs="Arial"/>
          <w:lang w:eastAsia="ar-SA"/>
        </w:rPr>
        <w:tab/>
        <w:t>mérito,</w:t>
      </w:r>
    </w:p>
    <w:p w14:paraId="334DE807" w14:textId="77777777" w:rsidR="000D4ADA" w:rsidRDefault="000D4ADA" w:rsidP="000D4ADA">
      <w:pPr>
        <w:jc w:val="both"/>
        <w:rPr>
          <w:rFonts w:ascii="Arial" w:hAnsi="Arial" w:cs="Arial"/>
          <w:lang w:eastAsia="ar-SA"/>
        </w:rPr>
      </w:pPr>
    </w:p>
    <w:p w14:paraId="41BAC771" w14:textId="773E7CFD" w:rsidR="000D4ADA" w:rsidRPr="000D4ADA" w:rsidRDefault="000D4ADA" w:rsidP="000D4ADA">
      <w:pPr>
        <w:jc w:val="both"/>
        <w:rPr>
          <w:rFonts w:ascii="Arial" w:hAnsi="Arial" w:cs="Arial"/>
          <w:lang w:eastAsia="ar-SA"/>
        </w:rPr>
      </w:pPr>
      <w:r w:rsidRPr="000D4ADA">
        <w:rPr>
          <w:rFonts w:ascii="Arial" w:hAnsi="Arial" w:cs="Arial"/>
          <w:lang w:eastAsia="ar-SA"/>
        </w:rPr>
        <w:t>pronunciar-se-á o soberano Plenário.</w:t>
      </w:r>
    </w:p>
    <w:p w14:paraId="3581FF5C" w14:textId="77777777" w:rsidR="000D4ADA" w:rsidRPr="000D4ADA" w:rsidRDefault="000D4ADA" w:rsidP="000D4ADA">
      <w:pPr>
        <w:jc w:val="both"/>
        <w:rPr>
          <w:rFonts w:ascii="Arial" w:hAnsi="Arial" w:cs="Arial"/>
          <w:lang w:eastAsia="ar-SA"/>
        </w:rPr>
      </w:pPr>
    </w:p>
    <w:p w14:paraId="60D241C2" w14:textId="77777777" w:rsidR="001E116B" w:rsidRDefault="001E116B" w:rsidP="001E116B">
      <w:pPr>
        <w:tabs>
          <w:tab w:val="left" w:pos="1455"/>
        </w:tabs>
        <w:spacing w:line="360" w:lineRule="auto"/>
        <w:ind w:firstLine="1410"/>
        <w:jc w:val="both"/>
        <w:rPr>
          <w:rFonts w:ascii="Arial Narrow" w:hAnsi="Arial Narrow" w:cs="Arial"/>
          <w:b/>
          <w:bCs/>
          <w:u w:val="single"/>
          <w:lang w:eastAsia="ar-SA"/>
        </w:rPr>
      </w:pPr>
    </w:p>
    <w:p w14:paraId="25BBC45C" w14:textId="77777777" w:rsidR="001E116B" w:rsidRDefault="001E116B" w:rsidP="001E116B">
      <w:pPr>
        <w:jc w:val="both"/>
        <w:rPr>
          <w:rFonts w:ascii="Arial Narrow" w:hAnsi="Arial Narrow"/>
          <w:b/>
          <w:bCs/>
          <w:u w:val="single"/>
        </w:rPr>
      </w:pPr>
    </w:p>
    <w:p w14:paraId="23A3AA08" w14:textId="1D4FBE2E" w:rsidR="00B61F94" w:rsidRDefault="001E116B" w:rsidP="00B61F94">
      <w:pPr>
        <w:spacing w:line="360" w:lineRule="auto"/>
        <w:ind w:firstLine="1412"/>
        <w:jc w:val="both"/>
        <w:rPr>
          <w:rFonts w:ascii="Arial Narrow" w:hAnsi="Arial Narrow" w:cs="Arial"/>
          <w:b/>
          <w:bCs/>
          <w:u w:val="single"/>
          <w:lang w:eastAsia="ar-SA"/>
        </w:rPr>
      </w:pPr>
      <w:r w:rsidRPr="001813EE">
        <w:rPr>
          <w:rFonts w:ascii="Arial Narrow" w:hAnsi="Arial Narrow" w:cs="Arial"/>
          <w:b/>
          <w:bCs/>
          <w:lang w:eastAsia="ar-SA"/>
        </w:rPr>
        <w:t xml:space="preserve">III – </w:t>
      </w:r>
      <w:r w:rsidRPr="001813EE">
        <w:rPr>
          <w:rFonts w:ascii="Arial Narrow" w:hAnsi="Arial Narrow" w:cs="Arial"/>
          <w:b/>
          <w:bCs/>
          <w:u w:val="single"/>
          <w:lang w:eastAsia="ar-SA"/>
        </w:rPr>
        <w:t>Conclusão</w:t>
      </w:r>
    </w:p>
    <w:p w14:paraId="5E0D593A" w14:textId="77777777" w:rsidR="001E116B" w:rsidRPr="001813EE" w:rsidRDefault="001E116B" w:rsidP="001E116B">
      <w:pPr>
        <w:spacing w:line="360" w:lineRule="auto"/>
        <w:ind w:firstLine="1412"/>
        <w:jc w:val="both"/>
        <w:rPr>
          <w:rFonts w:ascii="Arial Narrow" w:hAnsi="Arial Narrow" w:cs="Arial"/>
          <w:b/>
          <w:bCs/>
          <w:u w:val="single"/>
          <w:lang w:eastAsia="ar-SA"/>
        </w:rPr>
      </w:pPr>
    </w:p>
    <w:p w14:paraId="4124E933" w14:textId="291EF3A9" w:rsidR="001E116B" w:rsidRPr="00E3335D" w:rsidRDefault="001E116B" w:rsidP="001E116B">
      <w:pPr>
        <w:pStyle w:val="Corpodetexto"/>
        <w:spacing w:line="309" w:lineRule="auto"/>
        <w:ind w:left="121" w:right="320" w:firstLine="1258"/>
        <w:jc w:val="both"/>
        <w:rPr>
          <w:rFonts w:ascii="Arial" w:hAnsi="Arial" w:cs="Arial"/>
        </w:rPr>
      </w:pPr>
      <w:r w:rsidRPr="00E3335D">
        <w:rPr>
          <w:rFonts w:ascii="Arial" w:hAnsi="Arial" w:cs="Arial"/>
          <w:w w:val="110"/>
        </w:rPr>
        <w:t xml:space="preserve">Diante de todo exposto, do ponto de vista de constitucionalidade, </w:t>
      </w:r>
      <w:r w:rsidR="00C41ABE" w:rsidRPr="00E3335D">
        <w:rPr>
          <w:rFonts w:ascii="Arial" w:hAnsi="Arial" w:cs="Arial"/>
          <w:w w:val="110"/>
        </w:rPr>
        <w:t>juridicidade</w:t>
      </w:r>
      <w:r w:rsidR="00C41ABE">
        <w:rPr>
          <w:rFonts w:ascii="Arial" w:hAnsi="Arial" w:cs="Arial"/>
          <w:w w:val="110"/>
        </w:rPr>
        <w:t>,</w:t>
      </w:r>
      <w:r w:rsidR="00C41ABE" w:rsidRPr="00E3335D">
        <w:rPr>
          <w:rFonts w:ascii="Arial" w:hAnsi="Arial" w:cs="Arial"/>
          <w:w w:val="110"/>
        </w:rPr>
        <w:t xml:space="preserve"> </w:t>
      </w:r>
      <w:r w:rsidR="00C41ABE">
        <w:rPr>
          <w:rFonts w:ascii="Arial" w:hAnsi="Arial" w:cs="Arial"/>
          <w:w w:val="110"/>
        </w:rPr>
        <w:t>legalidade</w:t>
      </w:r>
      <w:r w:rsidR="00132C2F">
        <w:rPr>
          <w:rFonts w:ascii="Arial" w:hAnsi="Arial" w:cs="Arial"/>
          <w:w w:val="110"/>
        </w:rPr>
        <w:t xml:space="preserve"> e</w:t>
      </w:r>
      <w:r w:rsidRPr="00E3335D">
        <w:rPr>
          <w:rFonts w:ascii="Arial" w:hAnsi="Arial" w:cs="Arial"/>
          <w:w w:val="110"/>
        </w:rPr>
        <w:t xml:space="preserve"> boa técnica legislativa, a </w:t>
      </w:r>
      <w:r w:rsidRPr="00E3335D">
        <w:rPr>
          <w:rFonts w:ascii="Arial" w:hAnsi="Arial" w:cs="Arial"/>
          <w:spacing w:val="-2"/>
          <w:w w:val="110"/>
        </w:rPr>
        <w:t>Procuradoria</w:t>
      </w:r>
      <w:r w:rsidRPr="00E3335D">
        <w:rPr>
          <w:rFonts w:ascii="Arial" w:hAnsi="Arial" w:cs="Arial"/>
          <w:spacing w:val="-10"/>
          <w:w w:val="110"/>
        </w:rPr>
        <w:t xml:space="preserve"> </w:t>
      </w:r>
      <w:r w:rsidRPr="00E3335D">
        <w:rPr>
          <w:rFonts w:ascii="Arial" w:hAnsi="Arial" w:cs="Arial"/>
          <w:spacing w:val="-2"/>
          <w:w w:val="110"/>
        </w:rPr>
        <w:t>Jurídica</w:t>
      </w:r>
      <w:r w:rsidRPr="00E3335D">
        <w:rPr>
          <w:rFonts w:ascii="Arial" w:hAnsi="Arial" w:cs="Arial"/>
          <w:spacing w:val="-11"/>
          <w:w w:val="110"/>
        </w:rPr>
        <w:t xml:space="preserve"> </w:t>
      </w:r>
      <w:r w:rsidRPr="00E3335D">
        <w:rPr>
          <w:rFonts w:ascii="Arial" w:hAnsi="Arial" w:cs="Arial"/>
          <w:i/>
          <w:spacing w:val="-2"/>
          <w:w w:val="110"/>
        </w:rPr>
        <w:t>OPINA</w:t>
      </w:r>
      <w:r w:rsidRPr="00E3335D">
        <w:rPr>
          <w:rFonts w:ascii="Arial" w:hAnsi="Arial" w:cs="Arial"/>
          <w:i/>
          <w:spacing w:val="-12"/>
          <w:w w:val="110"/>
        </w:rPr>
        <w:t xml:space="preserve"> </w:t>
      </w:r>
      <w:r w:rsidRPr="00E3335D">
        <w:rPr>
          <w:rFonts w:ascii="Arial" w:hAnsi="Arial" w:cs="Arial"/>
          <w:spacing w:val="-2"/>
          <w:w w:val="110"/>
        </w:rPr>
        <w:t>pela</w:t>
      </w:r>
      <w:r w:rsidRPr="00E3335D">
        <w:rPr>
          <w:rFonts w:ascii="Arial" w:hAnsi="Arial" w:cs="Arial"/>
          <w:spacing w:val="-10"/>
          <w:w w:val="110"/>
        </w:rPr>
        <w:t xml:space="preserve"> </w:t>
      </w:r>
      <w:r w:rsidR="008D0645">
        <w:rPr>
          <w:rFonts w:ascii="Arial" w:hAnsi="Arial" w:cs="Arial"/>
          <w:spacing w:val="-2"/>
          <w:w w:val="110"/>
        </w:rPr>
        <w:t>legalidade e juridicidade</w:t>
      </w:r>
      <w:r w:rsidR="00B156E8">
        <w:rPr>
          <w:rFonts w:ascii="Arial" w:hAnsi="Arial" w:cs="Arial"/>
          <w:spacing w:val="-2"/>
          <w:w w:val="110"/>
        </w:rPr>
        <w:t xml:space="preserve"> e constitucionalidade</w:t>
      </w:r>
      <w:r w:rsidRPr="00E3335D">
        <w:rPr>
          <w:rFonts w:ascii="Arial" w:hAnsi="Arial" w:cs="Arial"/>
          <w:spacing w:val="-10"/>
          <w:w w:val="110"/>
        </w:rPr>
        <w:t xml:space="preserve"> </w:t>
      </w:r>
      <w:r w:rsidRPr="00E3335D">
        <w:rPr>
          <w:rFonts w:ascii="Arial" w:hAnsi="Arial" w:cs="Arial"/>
          <w:spacing w:val="-2"/>
          <w:w w:val="110"/>
        </w:rPr>
        <w:t>do</w:t>
      </w:r>
      <w:r w:rsidRPr="00E3335D">
        <w:rPr>
          <w:rFonts w:ascii="Arial" w:hAnsi="Arial" w:cs="Arial"/>
          <w:spacing w:val="-10"/>
          <w:w w:val="110"/>
        </w:rPr>
        <w:t xml:space="preserve"> </w:t>
      </w:r>
      <w:r w:rsidRPr="00E3335D">
        <w:rPr>
          <w:rFonts w:ascii="Arial" w:hAnsi="Arial" w:cs="Arial"/>
          <w:spacing w:val="-2"/>
          <w:w w:val="110"/>
        </w:rPr>
        <w:t>Projeto</w:t>
      </w:r>
      <w:r w:rsidRPr="00E3335D">
        <w:rPr>
          <w:rFonts w:ascii="Arial" w:hAnsi="Arial" w:cs="Arial"/>
          <w:spacing w:val="-10"/>
          <w:w w:val="110"/>
        </w:rPr>
        <w:t xml:space="preserve"> </w:t>
      </w:r>
      <w:r w:rsidRPr="00E3335D">
        <w:rPr>
          <w:rFonts w:ascii="Arial" w:hAnsi="Arial" w:cs="Arial"/>
          <w:spacing w:val="-2"/>
          <w:w w:val="110"/>
        </w:rPr>
        <w:t xml:space="preserve">de </w:t>
      </w:r>
      <w:r w:rsidRPr="00E3335D">
        <w:rPr>
          <w:rFonts w:ascii="Arial" w:hAnsi="Arial" w:cs="Arial"/>
          <w:w w:val="110"/>
        </w:rPr>
        <w:t xml:space="preserve">Lei </w:t>
      </w:r>
      <w:r>
        <w:rPr>
          <w:rFonts w:ascii="Arial" w:hAnsi="Arial" w:cs="Arial"/>
          <w:w w:val="110"/>
        </w:rPr>
        <w:t>Ordinária</w:t>
      </w:r>
      <w:r w:rsidRPr="00E3335D">
        <w:rPr>
          <w:rFonts w:ascii="Arial" w:hAnsi="Arial" w:cs="Arial"/>
          <w:w w:val="110"/>
        </w:rPr>
        <w:t xml:space="preserve"> nº. </w:t>
      </w:r>
      <w:r w:rsidR="00226A1E">
        <w:rPr>
          <w:rFonts w:ascii="Arial" w:hAnsi="Arial" w:cs="Arial"/>
          <w:w w:val="110"/>
        </w:rPr>
        <w:t>365</w:t>
      </w:r>
      <w:r>
        <w:rPr>
          <w:rFonts w:ascii="Arial" w:hAnsi="Arial" w:cs="Arial"/>
          <w:w w:val="110"/>
        </w:rPr>
        <w:t>/2025</w:t>
      </w:r>
      <w:r w:rsidRPr="00E3335D">
        <w:rPr>
          <w:rFonts w:ascii="Arial" w:hAnsi="Arial" w:cs="Arial"/>
          <w:w w:val="110"/>
        </w:rPr>
        <w:t>.</w:t>
      </w:r>
    </w:p>
    <w:p w14:paraId="40132F48" w14:textId="77777777" w:rsidR="001E116B" w:rsidRDefault="001E116B" w:rsidP="001E116B">
      <w:pPr>
        <w:pStyle w:val="Corpodetexto"/>
        <w:spacing w:before="106"/>
      </w:pPr>
    </w:p>
    <w:p w14:paraId="3B09AA42" w14:textId="262E9D2F" w:rsidR="001E116B" w:rsidRPr="001813EE" w:rsidRDefault="001E116B" w:rsidP="001E116B">
      <w:pPr>
        <w:tabs>
          <w:tab w:val="left" w:pos="1455"/>
        </w:tabs>
        <w:spacing w:line="360" w:lineRule="auto"/>
        <w:jc w:val="both"/>
        <w:rPr>
          <w:rFonts w:ascii="Arial Narrow" w:hAnsi="Arial Narrow" w:cs="Arial"/>
          <w:lang w:eastAsia="ar-SA"/>
        </w:rPr>
      </w:pPr>
      <w:r w:rsidRPr="001813EE">
        <w:rPr>
          <w:rFonts w:ascii="Arial Narrow" w:hAnsi="Arial Narrow" w:cs="Arial"/>
          <w:lang w:eastAsia="ar-SA"/>
        </w:rPr>
        <w:t xml:space="preserve">Sete Lagoas (MG), </w:t>
      </w:r>
      <w:r w:rsidR="00226A1E">
        <w:rPr>
          <w:rFonts w:ascii="Arial Narrow" w:hAnsi="Arial Narrow" w:cs="Arial"/>
          <w:lang w:eastAsia="ar-SA"/>
        </w:rPr>
        <w:t>12</w:t>
      </w:r>
      <w:r>
        <w:rPr>
          <w:rFonts w:ascii="Arial Narrow" w:hAnsi="Arial Narrow" w:cs="Arial"/>
          <w:lang w:eastAsia="ar-SA"/>
        </w:rPr>
        <w:t xml:space="preserve"> de </w:t>
      </w:r>
      <w:proofErr w:type="gramStart"/>
      <w:r w:rsidR="00B156E8">
        <w:rPr>
          <w:rFonts w:ascii="Arial Narrow" w:hAnsi="Arial Narrow" w:cs="Arial"/>
          <w:lang w:eastAsia="ar-SA"/>
        </w:rPr>
        <w:t>Março</w:t>
      </w:r>
      <w:proofErr w:type="gramEnd"/>
      <w:r>
        <w:rPr>
          <w:rFonts w:ascii="Arial Narrow" w:hAnsi="Arial Narrow" w:cs="Arial"/>
          <w:lang w:eastAsia="ar-SA"/>
        </w:rPr>
        <w:t xml:space="preserve"> de 2025</w:t>
      </w:r>
      <w:r w:rsidRPr="001813EE">
        <w:rPr>
          <w:rFonts w:ascii="Arial Narrow" w:hAnsi="Arial Narrow" w:cs="Arial"/>
          <w:lang w:eastAsia="ar-SA"/>
        </w:rPr>
        <w:t>.</w:t>
      </w:r>
    </w:p>
    <w:p w14:paraId="7CD57C4A" w14:textId="77777777" w:rsidR="001E116B" w:rsidRPr="001813EE" w:rsidRDefault="001E116B" w:rsidP="001E116B">
      <w:pPr>
        <w:pStyle w:val="SemEspaamento"/>
        <w:spacing w:line="360" w:lineRule="auto"/>
        <w:rPr>
          <w:rFonts w:ascii="Arial Narrow" w:hAnsi="Arial Narrow" w:cs="Arial"/>
          <w:lang w:eastAsia="ar-SA"/>
        </w:rPr>
      </w:pPr>
    </w:p>
    <w:p w14:paraId="250E2CAE" w14:textId="77777777" w:rsidR="001E116B" w:rsidRDefault="001E116B" w:rsidP="001E116B">
      <w:pPr>
        <w:pStyle w:val="SemEspaamento"/>
        <w:rPr>
          <w:rFonts w:ascii="Arial Narrow" w:hAnsi="Arial Narrow" w:cs="Arial"/>
          <w:lang w:eastAsia="ar-SA"/>
        </w:rPr>
      </w:pPr>
    </w:p>
    <w:p w14:paraId="2BD4C430" w14:textId="77777777" w:rsidR="001E116B" w:rsidRPr="00B827DE" w:rsidRDefault="001E116B" w:rsidP="001E116B">
      <w:pPr>
        <w:pStyle w:val="SemEspaamento"/>
        <w:jc w:val="center"/>
        <w:rPr>
          <w:rFonts w:ascii="Arial Narrow" w:hAnsi="Arial Narrow" w:cs="Arial"/>
          <w:b/>
          <w:bCs/>
          <w:sz w:val="28"/>
          <w:szCs w:val="28"/>
          <w:lang w:eastAsia="ar-SA"/>
        </w:rPr>
      </w:pPr>
      <w:r w:rsidRPr="00B827DE">
        <w:rPr>
          <w:rFonts w:ascii="Arial Narrow" w:hAnsi="Arial Narrow" w:cs="Arial"/>
          <w:b/>
          <w:bCs/>
          <w:sz w:val="28"/>
          <w:szCs w:val="28"/>
          <w:lang w:eastAsia="ar-SA"/>
        </w:rPr>
        <w:t>Dr. WILLIAN GOMES DA SILVA</w:t>
      </w:r>
    </w:p>
    <w:p w14:paraId="1C772906" w14:textId="77777777" w:rsidR="001E116B" w:rsidRPr="00B827DE" w:rsidRDefault="001E116B" w:rsidP="001E116B">
      <w:pPr>
        <w:pStyle w:val="SemEspaamento"/>
        <w:jc w:val="center"/>
        <w:rPr>
          <w:rFonts w:ascii="Arial Narrow" w:hAnsi="Arial Narrow" w:cs="Arial"/>
          <w:sz w:val="28"/>
          <w:szCs w:val="28"/>
          <w:lang w:eastAsia="ar-SA"/>
        </w:rPr>
      </w:pPr>
      <w:r w:rsidRPr="00B827DE">
        <w:rPr>
          <w:rFonts w:ascii="Arial Narrow" w:hAnsi="Arial Narrow" w:cs="Arial"/>
          <w:sz w:val="28"/>
          <w:szCs w:val="28"/>
          <w:lang w:eastAsia="ar-SA"/>
        </w:rPr>
        <w:t>Subprocurador-Geral do Legislativo</w:t>
      </w:r>
    </w:p>
    <w:p w14:paraId="4AA96414" w14:textId="1FCF4618" w:rsidR="00D356CF" w:rsidRPr="001E116B" w:rsidRDefault="001E116B" w:rsidP="001E116B">
      <w:pPr>
        <w:pStyle w:val="SemEspaamento"/>
        <w:jc w:val="center"/>
      </w:pPr>
      <w:r w:rsidRPr="00B827DE">
        <w:rPr>
          <w:rFonts w:ascii="Arial Narrow" w:hAnsi="Arial Narrow" w:cs="Arial"/>
          <w:sz w:val="28"/>
          <w:szCs w:val="28"/>
          <w:lang w:eastAsia="ar-SA"/>
        </w:rPr>
        <w:t>OAB/MG 149.037</w:t>
      </w:r>
      <w:bookmarkEnd w:id="0"/>
    </w:p>
    <w:sectPr w:rsidR="00D356CF" w:rsidRPr="001E116B" w:rsidSect="009727EE">
      <w:headerReference w:type="default" r:id="rId15"/>
      <w:pgSz w:w="11906" w:h="16838" w:code="9"/>
      <w:pgMar w:top="2269" w:right="1327" w:bottom="2127" w:left="1440" w:header="1417" w:footer="15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9B8EE" w14:textId="77777777" w:rsidR="00CC6C6F" w:rsidRDefault="00CC6C6F">
      <w:r>
        <w:separator/>
      </w:r>
    </w:p>
  </w:endnote>
  <w:endnote w:type="continuationSeparator" w:id="0">
    <w:p w14:paraId="537B6237" w14:textId="77777777" w:rsidR="00CC6C6F" w:rsidRDefault="00CC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DejaVu Sans">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7941E" w14:textId="77777777" w:rsidR="00CC6C6F" w:rsidRDefault="00CC6C6F">
      <w:r>
        <w:separator/>
      </w:r>
    </w:p>
  </w:footnote>
  <w:footnote w:type="continuationSeparator" w:id="0">
    <w:p w14:paraId="21A7A126" w14:textId="77777777" w:rsidR="00CC6C6F" w:rsidRDefault="00CC6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BAE5" w14:textId="3D926875" w:rsidR="00695FB1" w:rsidRPr="00864603" w:rsidRDefault="004317E6" w:rsidP="00D356CF">
    <w:pPr>
      <w:tabs>
        <w:tab w:val="center" w:pos="4252"/>
        <w:tab w:val="right" w:pos="8504"/>
      </w:tabs>
    </w:pPr>
    <w:r w:rsidRPr="006B3094">
      <w:rPr>
        <w:rFonts w:ascii="Times" w:eastAsia="DejaVu Sans" w:hAnsi="Times"/>
        <w:noProof/>
        <w:kern w:val="1"/>
        <w:lang w:eastAsia="en-US"/>
      </w:rPr>
      <w:drawing>
        <wp:anchor distT="0" distB="0" distL="114300" distR="114300" simplePos="0" relativeHeight="251659264" behindDoc="1" locked="0" layoutInCell="1" allowOverlap="1" wp14:anchorId="53DE632B" wp14:editId="441CBC88">
          <wp:simplePos x="0" y="0"/>
          <wp:positionH relativeFrom="page">
            <wp:align>right</wp:align>
          </wp:positionH>
          <wp:positionV relativeFrom="paragraph">
            <wp:posOffset>-895350</wp:posOffset>
          </wp:positionV>
          <wp:extent cx="7552690" cy="11991975"/>
          <wp:effectExtent l="0" t="0" r="0" b="9525"/>
          <wp:wrapNone/>
          <wp:docPr id="1897196331" name="Imagem 1897196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2690" cy="11991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3B1F12"/>
    <w:multiLevelType w:val="multilevel"/>
    <w:tmpl w:val="4080DBB6"/>
    <w:lvl w:ilvl="0">
      <w:start w:val="2"/>
      <w:numFmt w:val="decimal"/>
      <w:lvlText w:val="%1"/>
      <w:lvlJc w:val="left"/>
      <w:pPr>
        <w:ind w:left="1926" w:hanging="544"/>
      </w:pPr>
      <w:rPr>
        <w:rFonts w:hint="default"/>
        <w:lang w:val="pt-PT" w:eastAsia="en-US" w:bidi="ar-SA"/>
      </w:rPr>
    </w:lvl>
    <w:lvl w:ilvl="1">
      <w:start w:val="1"/>
      <w:numFmt w:val="decimal"/>
      <w:lvlText w:val="%1.%2."/>
      <w:lvlJc w:val="left"/>
      <w:pPr>
        <w:ind w:left="1926" w:hanging="544"/>
      </w:pPr>
      <w:rPr>
        <w:rFonts w:hint="default"/>
        <w:spacing w:val="-4"/>
        <w:w w:val="99"/>
        <w:lang w:val="pt-PT" w:eastAsia="en-US" w:bidi="ar-SA"/>
      </w:rPr>
    </w:lvl>
    <w:lvl w:ilvl="2">
      <w:start w:val="4"/>
      <w:numFmt w:val="upperRoman"/>
      <w:lvlText w:val="%3"/>
      <w:lvlJc w:val="left"/>
      <w:pPr>
        <w:ind w:left="3264" w:hanging="496"/>
      </w:pPr>
      <w:rPr>
        <w:rFonts w:hint="default"/>
        <w:spacing w:val="-2"/>
        <w:w w:val="108"/>
        <w:lang w:val="pt-PT" w:eastAsia="en-US" w:bidi="ar-SA"/>
      </w:rPr>
    </w:lvl>
    <w:lvl w:ilvl="3">
      <w:start w:val="1"/>
      <w:numFmt w:val="lowerLetter"/>
      <w:lvlText w:val="%4)"/>
      <w:lvlJc w:val="left"/>
      <w:pPr>
        <w:ind w:left="3579" w:hanging="316"/>
      </w:pPr>
      <w:rPr>
        <w:rFonts w:ascii="Trebuchet MS" w:eastAsia="Trebuchet MS" w:hAnsi="Trebuchet MS" w:cs="Trebuchet MS" w:hint="default"/>
        <w:b w:val="0"/>
        <w:bCs w:val="0"/>
        <w:i/>
        <w:iCs/>
        <w:color w:val="000009"/>
        <w:spacing w:val="-2"/>
        <w:w w:val="102"/>
        <w:sz w:val="25"/>
        <w:szCs w:val="25"/>
        <w:lang w:val="pt-PT" w:eastAsia="en-US" w:bidi="ar-SA"/>
      </w:rPr>
    </w:lvl>
    <w:lvl w:ilvl="4">
      <w:numFmt w:val="bullet"/>
      <w:lvlText w:val="•"/>
      <w:lvlJc w:val="left"/>
      <w:pPr>
        <w:ind w:left="4951" w:hanging="316"/>
      </w:pPr>
      <w:rPr>
        <w:rFonts w:hint="default"/>
        <w:lang w:val="pt-PT" w:eastAsia="en-US" w:bidi="ar-SA"/>
      </w:rPr>
    </w:lvl>
    <w:lvl w:ilvl="5">
      <w:numFmt w:val="bullet"/>
      <w:lvlText w:val="•"/>
      <w:lvlJc w:val="left"/>
      <w:pPr>
        <w:ind w:left="5637" w:hanging="316"/>
      </w:pPr>
      <w:rPr>
        <w:rFonts w:hint="default"/>
        <w:lang w:val="pt-PT" w:eastAsia="en-US" w:bidi="ar-SA"/>
      </w:rPr>
    </w:lvl>
    <w:lvl w:ilvl="6">
      <w:numFmt w:val="bullet"/>
      <w:lvlText w:val="•"/>
      <w:lvlJc w:val="left"/>
      <w:pPr>
        <w:ind w:left="6323" w:hanging="316"/>
      </w:pPr>
      <w:rPr>
        <w:rFonts w:hint="default"/>
        <w:lang w:val="pt-PT" w:eastAsia="en-US" w:bidi="ar-SA"/>
      </w:rPr>
    </w:lvl>
    <w:lvl w:ilvl="7">
      <w:numFmt w:val="bullet"/>
      <w:lvlText w:val="•"/>
      <w:lvlJc w:val="left"/>
      <w:pPr>
        <w:ind w:left="7009" w:hanging="316"/>
      </w:pPr>
      <w:rPr>
        <w:rFonts w:hint="default"/>
        <w:lang w:val="pt-PT" w:eastAsia="en-US" w:bidi="ar-SA"/>
      </w:rPr>
    </w:lvl>
    <w:lvl w:ilvl="8">
      <w:numFmt w:val="bullet"/>
      <w:lvlText w:val="•"/>
      <w:lvlJc w:val="left"/>
      <w:pPr>
        <w:ind w:left="7695" w:hanging="316"/>
      </w:pPr>
      <w:rPr>
        <w:rFonts w:hint="default"/>
        <w:lang w:val="pt-PT" w:eastAsia="en-US" w:bidi="ar-SA"/>
      </w:rPr>
    </w:lvl>
  </w:abstractNum>
  <w:abstractNum w:abstractNumId="1" w15:restartNumberingAfterBreak="0">
    <w:nsid w:val="605616F2"/>
    <w:multiLevelType w:val="hybridMultilevel"/>
    <w:tmpl w:val="CA105E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F31"/>
    <w:rsid w:val="0000329F"/>
    <w:rsid w:val="00007861"/>
    <w:rsid w:val="0001040B"/>
    <w:rsid w:val="00012D6B"/>
    <w:rsid w:val="000167DF"/>
    <w:rsid w:val="00044D93"/>
    <w:rsid w:val="000547FF"/>
    <w:rsid w:val="0006237A"/>
    <w:rsid w:val="0006418D"/>
    <w:rsid w:val="00064D1A"/>
    <w:rsid w:val="000705DB"/>
    <w:rsid w:val="00085184"/>
    <w:rsid w:val="00087DC9"/>
    <w:rsid w:val="000A0506"/>
    <w:rsid w:val="000A2954"/>
    <w:rsid w:val="000D4ADA"/>
    <w:rsid w:val="000D550D"/>
    <w:rsid w:val="000D68BB"/>
    <w:rsid w:val="000E7405"/>
    <w:rsid w:val="000F754F"/>
    <w:rsid w:val="00104C6B"/>
    <w:rsid w:val="00107AE6"/>
    <w:rsid w:val="00107F4A"/>
    <w:rsid w:val="0011572D"/>
    <w:rsid w:val="00122017"/>
    <w:rsid w:val="00132030"/>
    <w:rsid w:val="00132C2F"/>
    <w:rsid w:val="001461DE"/>
    <w:rsid w:val="00153252"/>
    <w:rsid w:val="001662C9"/>
    <w:rsid w:val="001672C3"/>
    <w:rsid w:val="00174B61"/>
    <w:rsid w:val="00176475"/>
    <w:rsid w:val="001B49A4"/>
    <w:rsid w:val="001E01B2"/>
    <w:rsid w:val="001E0203"/>
    <w:rsid w:val="001E116B"/>
    <w:rsid w:val="001E2433"/>
    <w:rsid w:val="00204BBF"/>
    <w:rsid w:val="00205B1C"/>
    <w:rsid w:val="00206331"/>
    <w:rsid w:val="00226A1E"/>
    <w:rsid w:val="00230928"/>
    <w:rsid w:val="0023737E"/>
    <w:rsid w:val="0024102A"/>
    <w:rsid w:val="0024459B"/>
    <w:rsid w:val="00250584"/>
    <w:rsid w:val="00260FFB"/>
    <w:rsid w:val="00262BC9"/>
    <w:rsid w:val="0027281A"/>
    <w:rsid w:val="002766BF"/>
    <w:rsid w:val="00296A66"/>
    <w:rsid w:val="002A07C1"/>
    <w:rsid w:val="002A2945"/>
    <w:rsid w:val="002A4C44"/>
    <w:rsid w:val="002C29AE"/>
    <w:rsid w:val="002E4AC6"/>
    <w:rsid w:val="002F643D"/>
    <w:rsid w:val="00304A29"/>
    <w:rsid w:val="003135EB"/>
    <w:rsid w:val="00324E53"/>
    <w:rsid w:val="003257FC"/>
    <w:rsid w:val="00325E3E"/>
    <w:rsid w:val="00326F35"/>
    <w:rsid w:val="00343E60"/>
    <w:rsid w:val="00362759"/>
    <w:rsid w:val="00392BF4"/>
    <w:rsid w:val="00395B34"/>
    <w:rsid w:val="003A1A96"/>
    <w:rsid w:val="003A272B"/>
    <w:rsid w:val="003B2D83"/>
    <w:rsid w:val="003B6763"/>
    <w:rsid w:val="003C295B"/>
    <w:rsid w:val="003D10D1"/>
    <w:rsid w:val="004013AE"/>
    <w:rsid w:val="00411662"/>
    <w:rsid w:val="0042486B"/>
    <w:rsid w:val="004317E6"/>
    <w:rsid w:val="004420E6"/>
    <w:rsid w:val="00464F31"/>
    <w:rsid w:val="00476122"/>
    <w:rsid w:val="00477E38"/>
    <w:rsid w:val="004812C5"/>
    <w:rsid w:val="00490976"/>
    <w:rsid w:val="004A64D6"/>
    <w:rsid w:val="004B156F"/>
    <w:rsid w:val="004C675C"/>
    <w:rsid w:val="004E1A0A"/>
    <w:rsid w:val="004E2BDE"/>
    <w:rsid w:val="004E3BE4"/>
    <w:rsid w:val="004E750A"/>
    <w:rsid w:val="004E7689"/>
    <w:rsid w:val="00533C1B"/>
    <w:rsid w:val="00544EB6"/>
    <w:rsid w:val="005502C8"/>
    <w:rsid w:val="005510E0"/>
    <w:rsid w:val="005655BE"/>
    <w:rsid w:val="00571191"/>
    <w:rsid w:val="00574425"/>
    <w:rsid w:val="00580591"/>
    <w:rsid w:val="00581B1F"/>
    <w:rsid w:val="005863F3"/>
    <w:rsid w:val="00587746"/>
    <w:rsid w:val="005A2C09"/>
    <w:rsid w:val="005B27E4"/>
    <w:rsid w:val="005B37B3"/>
    <w:rsid w:val="005B756E"/>
    <w:rsid w:val="005C00E5"/>
    <w:rsid w:val="005C76BC"/>
    <w:rsid w:val="005C79F5"/>
    <w:rsid w:val="005F4E6E"/>
    <w:rsid w:val="00611798"/>
    <w:rsid w:val="006155DA"/>
    <w:rsid w:val="00645E17"/>
    <w:rsid w:val="00652D25"/>
    <w:rsid w:val="00653687"/>
    <w:rsid w:val="006539F3"/>
    <w:rsid w:val="00661C46"/>
    <w:rsid w:val="00664085"/>
    <w:rsid w:val="00667C3D"/>
    <w:rsid w:val="006773B8"/>
    <w:rsid w:val="00693E76"/>
    <w:rsid w:val="0069536E"/>
    <w:rsid w:val="00695FB1"/>
    <w:rsid w:val="006975A4"/>
    <w:rsid w:val="006A74B6"/>
    <w:rsid w:val="006B0A4F"/>
    <w:rsid w:val="006B382B"/>
    <w:rsid w:val="006C349E"/>
    <w:rsid w:val="006C73DC"/>
    <w:rsid w:val="006C7756"/>
    <w:rsid w:val="006E1200"/>
    <w:rsid w:val="006E163D"/>
    <w:rsid w:val="00710C95"/>
    <w:rsid w:val="007145B2"/>
    <w:rsid w:val="00716313"/>
    <w:rsid w:val="0072017E"/>
    <w:rsid w:val="00722D38"/>
    <w:rsid w:val="00723C6D"/>
    <w:rsid w:val="00747858"/>
    <w:rsid w:val="00776947"/>
    <w:rsid w:val="007815EF"/>
    <w:rsid w:val="00787A53"/>
    <w:rsid w:val="007921DD"/>
    <w:rsid w:val="007A536F"/>
    <w:rsid w:val="007B1354"/>
    <w:rsid w:val="007B1A18"/>
    <w:rsid w:val="007C028D"/>
    <w:rsid w:val="007C61D1"/>
    <w:rsid w:val="007D7C6A"/>
    <w:rsid w:val="007E13A2"/>
    <w:rsid w:val="007E60F8"/>
    <w:rsid w:val="007F1615"/>
    <w:rsid w:val="007F7C9B"/>
    <w:rsid w:val="008059DE"/>
    <w:rsid w:val="00837051"/>
    <w:rsid w:val="008436DD"/>
    <w:rsid w:val="008516C8"/>
    <w:rsid w:val="00864603"/>
    <w:rsid w:val="008724F7"/>
    <w:rsid w:val="00876F6A"/>
    <w:rsid w:val="008A09EB"/>
    <w:rsid w:val="008A34F8"/>
    <w:rsid w:val="008A558C"/>
    <w:rsid w:val="008B1BA2"/>
    <w:rsid w:val="008B62D2"/>
    <w:rsid w:val="008C493B"/>
    <w:rsid w:val="008D0645"/>
    <w:rsid w:val="008D62E5"/>
    <w:rsid w:val="008E4CA7"/>
    <w:rsid w:val="008F4E59"/>
    <w:rsid w:val="00933C42"/>
    <w:rsid w:val="009374C7"/>
    <w:rsid w:val="00965446"/>
    <w:rsid w:val="009727EE"/>
    <w:rsid w:val="00972B09"/>
    <w:rsid w:val="00973A34"/>
    <w:rsid w:val="00981A37"/>
    <w:rsid w:val="009A2743"/>
    <w:rsid w:val="009A298B"/>
    <w:rsid w:val="009B4176"/>
    <w:rsid w:val="009C4D31"/>
    <w:rsid w:val="009C5245"/>
    <w:rsid w:val="009C5DD3"/>
    <w:rsid w:val="009C628A"/>
    <w:rsid w:val="009C6CBE"/>
    <w:rsid w:val="009E4016"/>
    <w:rsid w:val="009E67A4"/>
    <w:rsid w:val="009F7793"/>
    <w:rsid w:val="00A02BB9"/>
    <w:rsid w:val="00A10DFC"/>
    <w:rsid w:val="00A154B7"/>
    <w:rsid w:val="00A15626"/>
    <w:rsid w:val="00A164EF"/>
    <w:rsid w:val="00A432A8"/>
    <w:rsid w:val="00A5698E"/>
    <w:rsid w:val="00A711B3"/>
    <w:rsid w:val="00A76CEC"/>
    <w:rsid w:val="00A81A2C"/>
    <w:rsid w:val="00A85807"/>
    <w:rsid w:val="00AD0A43"/>
    <w:rsid w:val="00AE0FB3"/>
    <w:rsid w:val="00AE2884"/>
    <w:rsid w:val="00AE4185"/>
    <w:rsid w:val="00AE4BF2"/>
    <w:rsid w:val="00AE65B3"/>
    <w:rsid w:val="00AE7217"/>
    <w:rsid w:val="00AF3434"/>
    <w:rsid w:val="00B1018C"/>
    <w:rsid w:val="00B150E8"/>
    <w:rsid w:val="00B156E8"/>
    <w:rsid w:val="00B266CE"/>
    <w:rsid w:val="00B55572"/>
    <w:rsid w:val="00B61F94"/>
    <w:rsid w:val="00B747E5"/>
    <w:rsid w:val="00BA01EF"/>
    <w:rsid w:val="00BA1743"/>
    <w:rsid w:val="00BC271F"/>
    <w:rsid w:val="00BC2A0F"/>
    <w:rsid w:val="00BC545E"/>
    <w:rsid w:val="00BD439E"/>
    <w:rsid w:val="00BE0214"/>
    <w:rsid w:val="00BE5DE5"/>
    <w:rsid w:val="00C0254F"/>
    <w:rsid w:val="00C11444"/>
    <w:rsid w:val="00C13317"/>
    <w:rsid w:val="00C13DBA"/>
    <w:rsid w:val="00C33B4B"/>
    <w:rsid w:val="00C41ABE"/>
    <w:rsid w:val="00C55438"/>
    <w:rsid w:val="00C649DE"/>
    <w:rsid w:val="00C77712"/>
    <w:rsid w:val="00C84938"/>
    <w:rsid w:val="00CA2CA5"/>
    <w:rsid w:val="00CB1A72"/>
    <w:rsid w:val="00CB40AE"/>
    <w:rsid w:val="00CC6C6F"/>
    <w:rsid w:val="00CD01CE"/>
    <w:rsid w:val="00CE1F0E"/>
    <w:rsid w:val="00CF0458"/>
    <w:rsid w:val="00CF50C3"/>
    <w:rsid w:val="00D11623"/>
    <w:rsid w:val="00D32F61"/>
    <w:rsid w:val="00D356CF"/>
    <w:rsid w:val="00D403E9"/>
    <w:rsid w:val="00D410ED"/>
    <w:rsid w:val="00D43F34"/>
    <w:rsid w:val="00D51D4A"/>
    <w:rsid w:val="00D735BC"/>
    <w:rsid w:val="00D8197C"/>
    <w:rsid w:val="00D96E4F"/>
    <w:rsid w:val="00DB7D9A"/>
    <w:rsid w:val="00DE67BF"/>
    <w:rsid w:val="00E004B7"/>
    <w:rsid w:val="00E16C49"/>
    <w:rsid w:val="00E26CF8"/>
    <w:rsid w:val="00E30EEA"/>
    <w:rsid w:val="00E34E84"/>
    <w:rsid w:val="00E364A4"/>
    <w:rsid w:val="00E46CC3"/>
    <w:rsid w:val="00E66DDC"/>
    <w:rsid w:val="00E763FD"/>
    <w:rsid w:val="00E900DE"/>
    <w:rsid w:val="00EC721A"/>
    <w:rsid w:val="00ED3635"/>
    <w:rsid w:val="00ED435B"/>
    <w:rsid w:val="00EE1883"/>
    <w:rsid w:val="00EE2897"/>
    <w:rsid w:val="00EF00DC"/>
    <w:rsid w:val="00EF077F"/>
    <w:rsid w:val="00F1234C"/>
    <w:rsid w:val="00F16520"/>
    <w:rsid w:val="00F21BA0"/>
    <w:rsid w:val="00F27A25"/>
    <w:rsid w:val="00F36819"/>
    <w:rsid w:val="00F4442D"/>
    <w:rsid w:val="00F47DB2"/>
    <w:rsid w:val="00F55D8F"/>
    <w:rsid w:val="00F61F9A"/>
    <w:rsid w:val="00F6410F"/>
    <w:rsid w:val="00F7055A"/>
    <w:rsid w:val="00FA0FCC"/>
    <w:rsid w:val="00FB2B96"/>
    <w:rsid w:val="00FB4614"/>
    <w:rsid w:val="00FB71CA"/>
    <w:rsid w:val="00FC0E7C"/>
    <w:rsid w:val="00FD15AA"/>
    <w:rsid w:val="00FD269A"/>
    <w:rsid w:val="00FF2C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21F318"/>
  <w15:docId w15:val="{B55DCD64-F5EB-4C36-8BF9-9635231E9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F3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64F31"/>
    <w:pPr>
      <w:keepNext/>
      <w:jc w:val="center"/>
      <w:outlineLvl w:val="0"/>
    </w:pPr>
    <w:rPr>
      <w:szCs w:val="20"/>
    </w:rPr>
  </w:style>
  <w:style w:type="paragraph" w:styleId="Ttulo2">
    <w:name w:val="heading 2"/>
    <w:basedOn w:val="Normal"/>
    <w:next w:val="Normal"/>
    <w:link w:val="Ttulo2Char"/>
    <w:uiPriority w:val="9"/>
    <w:semiHidden/>
    <w:unhideWhenUsed/>
    <w:qFormat/>
    <w:rsid w:val="00087D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64F31"/>
    <w:rPr>
      <w:rFonts w:ascii="Times New Roman" w:eastAsia="Times New Roman" w:hAnsi="Times New Roman" w:cs="Times New Roman"/>
      <w:sz w:val="24"/>
      <w:szCs w:val="20"/>
      <w:lang w:eastAsia="pt-BR"/>
    </w:rPr>
  </w:style>
  <w:style w:type="paragraph" w:styleId="Cabealho">
    <w:name w:val="header"/>
    <w:basedOn w:val="Normal"/>
    <w:link w:val="CabealhoChar"/>
    <w:uiPriority w:val="99"/>
    <w:rsid w:val="00464F31"/>
    <w:pPr>
      <w:tabs>
        <w:tab w:val="center" w:pos="4419"/>
        <w:tab w:val="right" w:pos="8838"/>
      </w:tabs>
    </w:pPr>
    <w:rPr>
      <w:sz w:val="20"/>
      <w:szCs w:val="20"/>
    </w:rPr>
  </w:style>
  <w:style w:type="character" w:customStyle="1" w:styleId="CabealhoChar">
    <w:name w:val="Cabeçalho Char"/>
    <w:basedOn w:val="Fontepargpadro"/>
    <w:link w:val="Cabealho"/>
    <w:uiPriority w:val="99"/>
    <w:rsid w:val="00464F31"/>
    <w:rPr>
      <w:rFonts w:ascii="Times New Roman" w:eastAsia="Times New Roman" w:hAnsi="Times New Roman" w:cs="Times New Roman"/>
      <w:sz w:val="20"/>
      <w:szCs w:val="20"/>
      <w:lang w:eastAsia="pt-BR"/>
    </w:rPr>
  </w:style>
  <w:style w:type="paragraph" w:styleId="Legenda">
    <w:name w:val="caption"/>
    <w:basedOn w:val="Normal"/>
    <w:next w:val="Normal"/>
    <w:qFormat/>
    <w:rsid w:val="00464F31"/>
    <w:pPr>
      <w:jc w:val="center"/>
    </w:pPr>
    <w:rPr>
      <w:b/>
      <w:szCs w:val="20"/>
    </w:rPr>
  </w:style>
  <w:style w:type="paragraph" w:styleId="Recuodecorpodetexto">
    <w:name w:val="Body Text Indent"/>
    <w:basedOn w:val="Normal"/>
    <w:link w:val="RecuodecorpodetextoChar"/>
    <w:rsid w:val="00464F31"/>
    <w:pPr>
      <w:ind w:left="1416" w:firstLine="708"/>
      <w:jc w:val="both"/>
    </w:pPr>
    <w:rPr>
      <w:szCs w:val="20"/>
    </w:rPr>
  </w:style>
  <w:style w:type="character" w:customStyle="1" w:styleId="RecuodecorpodetextoChar">
    <w:name w:val="Recuo de corpo de texto Char"/>
    <w:basedOn w:val="Fontepargpadro"/>
    <w:link w:val="Recuodecorpodetexto"/>
    <w:rsid w:val="00464F31"/>
    <w:rPr>
      <w:rFonts w:ascii="Times New Roman" w:eastAsia="Times New Roman" w:hAnsi="Times New Roman" w:cs="Times New Roman"/>
      <w:sz w:val="24"/>
      <w:szCs w:val="20"/>
      <w:lang w:eastAsia="pt-BR"/>
    </w:rPr>
  </w:style>
  <w:style w:type="paragraph" w:styleId="Ttulo">
    <w:name w:val="Title"/>
    <w:basedOn w:val="Normal"/>
    <w:link w:val="TtuloChar"/>
    <w:qFormat/>
    <w:rsid w:val="00464F31"/>
    <w:pPr>
      <w:jc w:val="center"/>
    </w:pPr>
    <w:rPr>
      <w:rFonts w:ascii="Arial" w:hAnsi="Arial"/>
      <w:b/>
      <w:sz w:val="32"/>
      <w:szCs w:val="20"/>
    </w:rPr>
  </w:style>
  <w:style w:type="character" w:customStyle="1" w:styleId="TtuloChar">
    <w:name w:val="Título Char"/>
    <w:basedOn w:val="Fontepargpadro"/>
    <w:link w:val="Ttulo"/>
    <w:rsid w:val="00464F31"/>
    <w:rPr>
      <w:rFonts w:ascii="Arial" w:eastAsia="Times New Roman" w:hAnsi="Arial" w:cs="Times New Roman"/>
      <w:b/>
      <w:sz w:val="32"/>
      <w:szCs w:val="20"/>
      <w:lang w:eastAsia="pt-BR"/>
    </w:rPr>
  </w:style>
  <w:style w:type="paragraph" w:styleId="Rodap">
    <w:name w:val="footer"/>
    <w:basedOn w:val="Normal"/>
    <w:link w:val="RodapChar"/>
    <w:uiPriority w:val="99"/>
    <w:unhideWhenUsed/>
    <w:rsid w:val="00864603"/>
    <w:pPr>
      <w:tabs>
        <w:tab w:val="center" w:pos="4252"/>
        <w:tab w:val="right" w:pos="8504"/>
      </w:tabs>
    </w:pPr>
  </w:style>
  <w:style w:type="character" w:customStyle="1" w:styleId="RodapChar">
    <w:name w:val="Rodapé Char"/>
    <w:basedOn w:val="Fontepargpadro"/>
    <w:link w:val="Rodap"/>
    <w:uiPriority w:val="99"/>
    <w:rsid w:val="00864603"/>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semiHidden/>
    <w:unhideWhenUsed/>
    <w:rsid w:val="00A10DF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10DFC"/>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1018C"/>
    <w:rPr>
      <w:rFonts w:ascii="Segoe UI" w:hAnsi="Segoe UI" w:cs="Segoe UI"/>
      <w:sz w:val="18"/>
      <w:szCs w:val="18"/>
    </w:rPr>
  </w:style>
  <w:style w:type="character" w:customStyle="1" w:styleId="TextodebaloChar">
    <w:name w:val="Texto de balão Char"/>
    <w:basedOn w:val="Fontepargpadro"/>
    <w:link w:val="Textodebalo"/>
    <w:uiPriority w:val="99"/>
    <w:semiHidden/>
    <w:rsid w:val="00B1018C"/>
    <w:rPr>
      <w:rFonts w:ascii="Segoe UI" w:eastAsia="Times New Roman" w:hAnsi="Segoe UI" w:cs="Segoe UI"/>
      <w:sz w:val="18"/>
      <w:szCs w:val="18"/>
      <w:lang w:eastAsia="pt-BR"/>
    </w:rPr>
  </w:style>
  <w:style w:type="character" w:styleId="Hyperlink">
    <w:name w:val="Hyperlink"/>
    <w:basedOn w:val="Fontepargpadro"/>
    <w:uiPriority w:val="99"/>
    <w:unhideWhenUsed/>
    <w:rsid w:val="0006418D"/>
    <w:rPr>
      <w:color w:val="0000FF"/>
      <w:u w:val="single"/>
    </w:rPr>
  </w:style>
  <w:style w:type="paragraph" w:styleId="SemEspaamento">
    <w:name w:val="No Spacing"/>
    <w:uiPriority w:val="1"/>
    <w:qFormat/>
    <w:rsid w:val="0006418D"/>
    <w:pPr>
      <w:spacing w:after="0" w:line="240" w:lineRule="auto"/>
    </w:pPr>
  </w:style>
  <w:style w:type="character" w:styleId="MenoPendente">
    <w:name w:val="Unresolved Mention"/>
    <w:basedOn w:val="Fontepargpadro"/>
    <w:uiPriority w:val="99"/>
    <w:semiHidden/>
    <w:unhideWhenUsed/>
    <w:rsid w:val="00FF2C13"/>
    <w:rPr>
      <w:color w:val="605E5C"/>
      <w:shd w:val="clear" w:color="auto" w:fill="E1DFDD"/>
    </w:rPr>
  </w:style>
  <w:style w:type="paragraph" w:styleId="NormalWeb">
    <w:name w:val="Normal (Web)"/>
    <w:basedOn w:val="Normal"/>
    <w:uiPriority w:val="99"/>
    <w:semiHidden/>
    <w:unhideWhenUsed/>
    <w:rsid w:val="0072017E"/>
  </w:style>
  <w:style w:type="paragraph" w:styleId="Corpodetexto">
    <w:name w:val="Body Text"/>
    <w:basedOn w:val="Normal"/>
    <w:link w:val="CorpodetextoChar"/>
    <w:uiPriority w:val="99"/>
    <w:unhideWhenUsed/>
    <w:rsid w:val="004E7689"/>
    <w:pPr>
      <w:spacing w:after="120"/>
    </w:pPr>
  </w:style>
  <w:style w:type="character" w:customStyle="1" w:styleId="CorpodetextoChar">
    <w:name w:val="Corpo de texto Char"/>
    <w:basedOn w:val="Fontepargpadro"/>
    <w:link w:val="Corpodetexto"/>
    <w:uiPriority w:val="99"/>
    <w:rsid w:val="004E7689"/>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4E7689"/>
    <w:pPr>
      <w:widowControl w:val="0"/>
      <w:autoSpaceDE w:val="0"/>
      <w:autoSpaceDN w:val="0"/>
      <w:ind w:left="1924" w:hanging="542"/>
    </w:pPr>
    <w:rPr>
      <w:rFonts w:ascii="Trebuchet MS" w:eastAsia="Trebuchet MS" w:hAnsi="Trebuchet MS" w:cs="Trebuchet MS"/>
      <w:sz w:val="22"/>
      <w:szCs w:val="22"/>
      <w:lang w:val="pt-PT" w:eastAsia="en-US"/>
    </w:rPr>
  </w:style>
  <w:style w:type="character" w:customStyle="1" w:styleId="Ttulo2Char">
    <w:name w:val="Título 2 Char"/>
    <w:basedOn w:val="Fontepargpadro"/>
    <w:link w:val="Ttulo2"/>
    <w:uiPriority w:val="9"/>
    <w:semiHidden/>
    <w:rsid w:val="00087DC9"/>
    <w:rPr>
      <w:rFonts w:asciiTheme="majorHAnsi" w:eastAsiaTheme="majorEastAsia" w:hAnsiTheme="majorHAnsi" w:cstheme="majorBidi"/>
      <w:color w:val="365F91" w:themeColor="accent1" w:themeShade="BF"/>
      <w:sz w:val="26"/>
      <w:szCs w:val="26"/>
      <w:lang w:eastAsia="pt-BR"/>
    </w:rPr>
  </w:style>
  <w:style w:type="paragraph" w:customStyle="1" w:styleId="Default">
    <w:name w:val="Default"/>
    <w:rsid w:val="001E116B"/>
    <w:pPr>
      <w:autoSpaceDE w:val="0"/>
      <w:autoSpaceDN w:val="0"/>
      <w:adjustRightInd w:val="0"/>
      <w:spacing w:after="0" w:line="240" w:lineRule="auto"/>
    </w:pPr>
    <w:rPr>
      <w:rFonts w:ascii="Arial" w:hAnsi="Arial" w:cs="Arial"/>
      <w:color w:val="000000"/>
      <w:sz w:val="24"/>
      <w:szCs w:val="24"/>
    </w:rPr>
  </w:style>
  <w:style w:type="character" w:customStyle="1" w:styleId="label">
    <w:name w:val="label"/>
    <w:basedOn w:val="Fontepargpadro"/>
    <w:rsid w:val="00B61F94"/>
  </w:style>
  <w:style w:type="character" w:styleId="nfase">
    <w:name w:val="Emphasis"/>
    <w:basedOn w:val="Fontepargpadro"/>
    <w:uiPriority w:val="20"/>
    <w:qFormat/>
    <w:rsid w:val="007921DD"/>
    <w:rPr>
      <w:i/>
      <w:iCs/>
    </w:rPr>
  </w:style>
  <w:style w:type="character" w:styleId="Forte">
    <w:name w:val="Strong"/>
    <w:basedOn w:val="Fontepargpadro"/>
    <w:uiPriority w:val="22"/>
    <w:qFormat/>
    <w:rsid w:val="007921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480247">
      <w:bodyDiv w:val="1"/>
      <w:marLeft w:val="0"/>
      <w:marRight w:val="0"/>
      <w:marTop w:val="0"/>
      <w:marBottom w:val="0"/>
      <w:divBdr>
        <w:top w:val="none" w:sz="0" w:space="0" w:color="auto"/>
        <w:left w:val="none" w:sz="0" w:space="0" w:color="auto"/>
        <w:bottom w:val="none" w:sz="0" w:space="0" w:color="auto"/>
        <w:right w:val="none" w:sz="0" w:space="0" w:color="auto"/>
      </w:divBdr>
    </w:div>
    <w:div w:id="855388075">
      <w:bodyDiv w:val="1"/>
      <w:marLeft w:val="0"/>
      <w:marRight w:val="0"/>
      <w:marTop w:val="0"/>
      <w:marBottom w:val="0"/>
      <w:divBdr>
        <w:top w:val="none" w:sz="0" w:space="0" w:color="auto"/>
        <w:left w:val="none" w:sz="0" w:space="0" w:color="auto"/>
        <w:bottom w:val="none" w:sz="0" w:space="0" w:color="auto"/>
        <w:right w:val="none" w:sz="0" w:space="0" w:color="auto"/>
      </w:divBdr>
    </w:div>
    <w:div w:id="1126509293">
      <w:bodyDiv w:val="1"/>
      <w:marLeft w:val="0"/>
      <w:marRight w:val="0"/>
      <w:marTop w:val="0"/>
      <w:marBottom w:val="0"/>
      <w:divBdr>
        <w:top w:val="none" w:sz="0" w:space="0" w:color="auto"/>
        <w:left w:val="none" w:sz="0" w:space="0" w:color="auto"/>
        <w:bottom w:val="none" w:sz="0" w:space="0" w:color="auto"/>
        <w:right w:val="none" w:sz="0" w:space="0" w:color="auto"/>
      </w:divBdr>
    </w:div>
    <w:div w:id="1220746935">
      <w:bodyDiv w:val="1"/>
      <w:marLeft w:val="0"/>
      <w:marRight w:val="0"/>
      <w:marTop w:val="0"/>
      <w:marBottom w:val="0"/>
      <w:divBdr>
        <w:top w:val="none" w:sz="0" w:space="0" w:color="auto"/>
        <w:left w:val="none" w:sz="0" w:space="0" w:color="auto"/>
        <w:bottom w:val="none" w:sz="0" w:space="0" w:color="auto"/>
        <w:right w:val="none" w:sz="0" w:space="0" w:color="auto"/>
      </w:divBdr>
    </w:div>
    <w:div w:id="1290932842">
      <w:bodyDiv w:val="1"/>
      <w:marLeft w:val="0"/>
      <w:marRight w:val="0"/>
      <w:marTop w:val="0"/>
      <w:marBottom w:val="0"/>
      <w:divBdr>
        <w:top w:val="none" w:sz="0" w:space="0" w:color="auto"/>
        <w:left w:val="none" w:sz="0" w:space="0" w:color="auto"/>
        <w:bottom w:val="none" w:sz="0" w:space="0" w:color="auto"/>
        <w:right w:val="none" w:sz="0" w:space="0" w:color="auto"/>
      </w:divBdr>
    </w:div>
    <w:div w:id="1443306185">
      <w:bodyDiv w:val="1"/>
      <w:marLeft w:val="0"/>
      <w:marRight w:val="0"/>
      <w:marTop w:val="0"/>
      <w:marBottom w:val="0"/>
      <w:divBdr>
        <w:top w:val="none" w:sz="0" w:space="0" w:color="auto"/>
        <w:left w:val="none" w:sz="0" w:space="0" w:color="auto"/>
        <w:bottom w:val="none" w:sz="0" w:space="0" w:color="auto"/>
        <w:right w:val="none" w:sz="0" w:space="0" w:color="auto"/>
      </w:divBdr>
    </w:div>
    <w:div w:id="1519730122">
      <w:bodyDiv w:val="1"/>
      <w:marLeft w:val="0"/>
      <w:marRight w:val="0"/>
      <w:marTop w:val="0"/>
      <w:marBottom w:val="0"/>
      <w:divBdr>
        <w:top w:val="none" w:sz="0" w:space="0" w:color="auto"/>
        <w:left w:val="none" w:sz="0" w:space="0" w:color="auto"/>
        <w:bottom w:val="none" w:sz="0" w:space="0" w:color="auto"/>
        <w:right w:val="none" w:sz="0" w:space="0" w:color="auto"/>
      </w:divBdr>
    </w:div>
    <w:div w:id="1670870736">
      <w:bodyDiv w:val="1"/>
      <w:marLeft w:val="0"/>
      <w:marRight w:val="0"/>
      <w:marTop w:val="0"/>
      <w:marBottom w:val="0"/>
      <w:divBdr>
        <w:top w:val="none" w:sz="0" w:space="0" w:color="auto"/>
        <w:left w:val="none" w:sz="0" w:space="0" w:color="auto"/>
        <w:bottom w:val="none" w:sz="0" w:space="0" w:color="auto"/>
        <w:right w:val="none" w:sz="0" w:space="0" w:color="auto"/>
      </w:divBdr>
    </w:div>
    <w:div w:id="186563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ismunicipais.com.br/a/mg/s/sete-lagoas/emenda-a-lei-organica/2017/3/39/emenda-a-lei-organica-n-39-2017-altera-a-lei-org-nica-do-municipio-de-sete-lagoas" TargetMode="External"/><Relationship Id="rId13" Type="http://schemas.openxmlformats.org/officeDocument/2006/relationships/hyperlink" Target="https://leismunicipais.com.br/a/mg/s/sete-lagoas/emenda-a-lei-organica/2017/3/39/emenda-a-lei-organica-n-39-2017-altera-a-lei-org-nica-do-municipio-de-sete-lago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ismunicipais.com.br/a/mg/s/sete-lagoas/emenda-a-lei-organica/2017/3/39/emenda-a-lei-organica-n-39-2017-altera-a-lei-org-nica-do-municipio-de-sete-lago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ismunicipais.com.br/a/mg/s/sete-lagoas/emenda-a-lei-organica/2023/4/46/emenda-a-lei-organica-n-46-202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eismunicipais.com.br/a/mg/s/sete-lagoas/emenda-a-lei-organica/2017/3/39/emenda-a-lei-organica-n-39-2017-altera-a-lei-org-nica-do-municipio-de-sete-lagoas" TargetMode="External"/><Relationship Id="rId4" Type="http://schemas.openxmlformats.org/officeDocument/2006/relationships/settings" Target="settings.xml"/><Relationship Id="rId9" Type="http://schemas.openxmlformats.org/officeDocument/2006/relationships/hyperlink" Target="https://leismunicipais.com.br/a/mg/s/sete-lagoas/emenda-a-lei-organica/2017/3/39/emenda-a-lei-organica-n-39-2017-altera-a-lei-org-nica-do-municipio-de-sete-lagoas" TargetMode="External"/><Relationship Id="rId14" Type="http://schemas.openxmlformats.org/officeDocument/2006/relationships/hyperlink" Target="http://www.planalto.gov.br/ccivil_03/leis/l8666con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22858-8FBF-43BA-A75C-EC09B352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2896</Words>
  <Characters>15641</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Willian Gomes da Silva</cp:lastModifiedBy>
  <cp:revision>3</cp:revision>
  <cp:lastPrinted>2025-05-14T11:34:00Z</cp:lastPrinted>
  <dcterms:created xsi:type="dcterms:W3CDTF">2025-05-12T18:15:00Z</dcterms:created>
  <dcterms:modified xsi:type="dcterms:W3CDTF">2025-05-14T11:36:00Z</dcterms:modified>
</cp:coreProperties>
</file>