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791E2F74"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Pr="005E0151">
        <w:rPr>
          <w:rFonts w:ascii="Arial Narrow" w:hAnsi="Arial Narrow"/>
          <w:b/>
          <w:bCs/>
        </w:rPr>
        <w:t>0</w:t>
      </w:r>
      <w:r w:rsidR="008A396D">
        <w:rPr>
          <w:rFonts w:ascii="Arial Narrow" w:hAnsi="Arial Narrow"/>
          <w:b/>
          <w:bCs/>
        </w:rPr>
        <w:t>70</w:t>
      </w:r>
      <w:r w:rsidRPr="005E0151">
        <w:rPr>
          <w:rFonts w:ascii="Arial Narrow" w:hAnsi="Arial Narrow"/>
          <w:b/>
          <w:bCs/>
        </w:rPr>
        <w:t>/2025</w:t>
      </w:r>
    </w:p>
    <w:p w14:paraId="4D365CB3" w14:textId="3F32CC94" w:rsidR="00FE20FB" w:rsidRPr="005E0151" w:rsidRDefault="00F3605A" w:rsidP="00A14607">
      <w:pPr>
        <w:rPr>
          <w:rFonts w:ascii="Arial Narrow" w:hAnsi="Arial Narrow"/>
          <w:b/>
          <w:bCs/>
        </w:rPr>
      </w:pPr>
      <w:r w:rsidRPr="005E0151">
        <w:rPr>
          <w:rFonts w:ascii="Arial Narrow" w:hAnsi="Arial Narrow"/>
          <w:b/>
          <w:bCs/>
        </w:rPr>
        <w:t>MATÉRIA: PROJETO DE LEI ORDINÁRIA Nº</w:t>
      </w:r>
      <w:r w:rsidR="008A396D">
        <w:rPr>
          <w:rFonts w:ascii="Arial Narrow" w:hAnsi="Arial Narrow"/>
          <w:b/>
          <w:bCs/>
        </w:rPr>
        <w:t xml:space="preserve"> 304</w:t>
      </w:r>
      <w:r w:rsidRPr="005E0151">
        <w:rPr>
          <w:rFonts w:ascii="Arial Narrow" w:hAnsi="Arial Narrow"/>
          <w:b/>
          <w:bCs/>
        </w:rPr>
        <w:t>/202</w:t>
      </w:r>
      <w:r w:rsidR="00954F29">
        <w:rPr>
          <w:rFonts w:ascii="Arial Narrow" w:hAnsi="Arial Narrow"/>
          <w:b/>
          <w:bCs/>
        </w:rPr>
        <w:t>5</w:t>
      </w:r>
    </w:p>
    <w:p w14:paraId="721CA133" w14:textId="77777777" w:rsidR="008A396D" w:rsidRPr="008A396D" w:rsidRDefault="008A396D" w:rsidP="008A396D">
      <w:pPr>
        <w:spacing w:after="0" w:line="360" w:lineRule="auto"/>
        <w:jc w:val="both"/>
        <w:rPr>
          <w:rFonts w:ascii="Arial Narrow" w:hAnsi="Arial Narrow" w:cs="Arial"/>
          <w:b/>
          <w:bCs/>
        </w:rPr>
      </w:pPr>
      <w:r w:rsidRPr="008A396D">
        <w:rPr>
          <w:rFonts w:ascii="Arial Narrow" w:hAnsi="Arial Narrow" w:cs="Arial"/>
          <w:b/>
          <w:bCs/>
        </w:rPr>
        <w:t>ESTABELECE E FIXA DIRETRIZES PARA A PROMOÇÃO DA SEGURANÇA PREVENTIVA EM ESTABELECIMENTOS COMERCIAIS NO MUNICÍPIO DE SETE LAGOAS E DÁ OUTRAS PROVIDÊNCIAS.</w:t>
      </w:r>
    </w:p>
    <w:p w14:paraId="7A179ACD" w14:textId="363C12E5"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proofErr w:type="spellStart"/>
      <w:r w:rsidR="00EF60FD">
        <w:rPr>
          <w:rFonts w:ascii="Arial Narrow" w:hAnsi="Arial Narrow"/>
          <w:b/>
          <w:bCs/>
        </w:rPr>
        <w:t>Alber</w:t>
      </w:r>
      <w:proofErr w:type="spellEnd"/>
      <w:r w:rsidR="00EF60FD">
        <w:rPr>
          <w:rFonts w:ascii="Arial Narrow" w:hAnsi="Arial Narrow"/>
          <w:b/>
          <w:bCs/>
        </w:rPr>
        <w:t xml:space="preserve"> Alípio Ribeiro</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2E284A32" w14:textId="77777777" w:rsidR="008A396D" w:rsidRPr="008A396D" w:rsidRDefault="00A14607" w:rsidP="008A396D">
      <w:pPr>
        <w:spacing w:after="0" w:line="360" w:lineRule="auto"/>
        <w:jc w:val="both"/>
        <w:rPr>
          <w:rFonts w:ascii="Arial Narrow" w:hAnsi="Arial Narrow" w:cs="Arial"/>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8A396D">
        <w:rPr>
          <w:rFonts w:ascii="Arial Narrow" w:hAnsi="Arial Narrow"/>
        </w:rPr>
        <w:t>304</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EF60FD" w:rsidRPr="00EF60FD">
        <w:rPr>
          <w:rFonts w:ascii="Arial Narrow" w:hAnsi="Arial Narrow"/>
        </w:rPr>
        <w:t xml:space="preserve">Alber Alípio Ribeiro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9503CD">
        <w:rPr>
          <w:rFonts w:ascii="Arial Narrow" w:hAnsi="Arial Narrow"/>
        </w:rPr>
        <w:t xml:space="preserve"> </w:t>
      </w:r>
      <w:r w:rsidR="008A396D" w:rsidRPr="008A396D">
        <w:rPr>
          <w:rFonts w:ascii="Arial Narrow" w:hAnsi="Arial Narrow" w:cs="Arial"/>
          <w:i/>
          <w:iCs/>
          <w:color w:val="44546A" w:themeColor="text2"/>
        </w:rPr>
        <w:t>Esta Lei dispõe sobre diretrizes voltadas ao incentivo de práticas de segurança preventiva nos estabelecimentos comerciais do município de Sete Lagoas, com o objetivo de promover a proteção de comerciantes, trabalhadores e consumidores.</w:t>
      </w:r>
    </w:p>
    <w:p w14:paraId="5EAC89DC" w14:textId="5AB32612"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64089721" w:rsidR="00537445" w:rsidRPr="00983F9F"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21DD409F" w14:textId="77777777" w:rsidR="008A396D" w:rsidRPr="008A396D" w:rsidRDefault="008A396D" w:rsidP="008A396D">
      <w:pPr>
        <w:spacing w:after="0" w:line="360" w:lineRule="auto"/>
        <w:ind w:left="3402"/>
        <w:jc w:val="both"/>
        <w:rPr>
          <w:rFonts w:ascii="Arial Narrow" w:hAnsi="Arial Narrow" w:cs="Arial"/>
          <w:i/>
          <w:iCs/>
          <w:color w:val="44546A" w:themeColor="text2"/>
          <w:sz w:val="20"/>
          <w:szCs w:val="20"/>
        </w:rPr>
      </w:pPr>
      <w:r w:rsidRPr="008A396D">
        <w:rPr>
          <w:rFonts w:ascii="Arial Narrow" w:hAnsi="Arial Narrow" w:cs="Arial"/>
          <w:i/>
          <w:iCs/>
          <w:color w:val="44546A" w:themeColor="text2"/>
          <w:sz w:val="20"/>
          <w:szCs w:val="20"/>
        </w:rPr>
        <w:t>O presente Projeto de Lei propõe a definição de diretrizes para a promoção da segurança preventiva no comércio local, com o objetivo de fomentar a proteção de comerciantes, trabalhadores e consumidores, a partir de ações comunitárias, educativas e colaborativas. Trata-se de uma iniciativa orientadora, de caráter não impositivo, que respeita os limites da competência legislativa do município.</w:t>
      </w:r>
    </w:p>
    <w:p w14:paraId="4004CD88" w14:textId="77777777" w:rsidR="008A396D" w:rsidRPr="008A396D" w:rsidRDefault="008A396D" w:rsidP="008A396D">
      <w:pPr>
        <w:spacing w:after="0" w:line="360" w:lineRule="auto"/>
        <w:ind w:left="3402"/>
        <w:jc w:val="both"/>
        <w:rPr>
          <w:rFonts w:ascii="Arial Narrow" w:hAnsi="Arial Narrow" w:cs="Arial"/>
          <w:i/>
          <w:iCs/>
          <w:color w:val="44546A" w:themeColor="text2"/>
          <w:sz w:val="20"/>
          <w:szCs w:val="20"/>
        </w:rPr>
      </w:pPr>
      <w:r w:rsidRPr="008A396D">
        <w:rPr>
          <w:rFonts w:ascii="Arial Narrow" w:hAnsi="Arial Narrow" w:cs="Arial"/>
          <w:i/>
          <w:iCs/>
          <w:color w:val="44546A" w:themeColor="text2"/>
          <w:sz w:val="20"/>
          <w:szCs w:val="20"/>
        </w:rPr>
        <w:t xml:space="preserve">A Constituição Federal, em seu artigo 30, incisos I e II, estabelece como competência </w:t>
      </w:r>
      <w:proofErr w:type="gramStart"/>
      <w:r w:rsidRPr="008A396D">
        <w:rPr>
          <w:rFonts w:ascii="Arial Narrow" w:hAnsi="Arial Narrow" w:cs="Arial"/>
          <w:i/>
          <w:iCs/>
          <w:color w:val="44546A" w:themeColor="text2"/>
          <w:sz w:val="20"/>
          <w:szCs w:val="20"/>
        </w:rPr>
        <w:t>dos</w:t>
      </w:r>
      <w:proofErr w:type="gramEnd"/>
      <w:r w:rsidRPr="008A396D">
        <w:rPr>
          <w:rFonts w:ascii="Arial Narrow" w:hAnsi="Arial Narrow" w:cs="Arial"/>
          <w:i/>
          <w:iCs/>
          <w:color w:val="44546A" w:themeColor="text2"/>
          <w:sz w:val="20"/>
          <w:szCs w:val="20"/>
        </w:rPr>
        <w:t xml:space="preserve"> municípios legislar sobre assuntos de interesse local e suplementar a legislação federal e estadual no que couber. Nesse contexto, a segurança preventiva no comércio — embora relacionada à segurança pública, de responsabilidade estadual — pode e deve ser promovida no plano municipal, sobretudo por meio de ações de conscientização, orientação e cooperação entre a sociedade civil e o poder público.</w:t>
      </w:r>
    </w:p>
    <w:p w14:paraId="134DB5F9" w14:textId="77777777" w:rsidR="008A396D" w:rsidRPr="008A396D" w:rsidRDefault="008A396D" w:rsidP="008A396D">
      <w:pPr>
        <w:spacing w:after="0" w:line="360" w:lineRule="auto"/>
        <w:ind w:left="3402"/>
        <w:jc w:val="both"/>
        <w:rPr>
          <w:rFonts w:ascii="Arial Narrow" w:hAnsi="Arial Narrow" w:cs="Arial"/>
          <w:i/>
          <w:iCs/>
          <w:color w:val="44546A" w:themeColor="text2"/>
          <w:sz w:val="20"/>
          <w:szCs w:val="20"/>
        </w:rPr>
      </w:pPr>
      <w:r w:rsidRPr="008A396D">
        <w:rPr>
          <w:rFonts w:ascii="Arial Narrow" w:hAnsi="Arial Narrow" w:cs="Arial"/>
          <w:i/>
          <w:iCs/>
          <w:color w:val="44546A" w:themeColor="text2"/>
          <w:sz w:val="20"/>
          <w:szCs w:val="20"/>
        </w:rPr>
        <w:t xml:space="preserve">O projeto não cria despesas para o Executivo nem interfere em competências administrativas, mas sim define diretrizes para estimular boas práticas de segurança, como o uso de iluminação adequada, monitoramento, controle de acesso e comunicação entre </w:t>
      </w:r>
      <w:r w:rsidRPr="008A396D">
        <w:rPr>
          <w:rFonts w:ascii="Arial Narrow" w:hAnsi="Arial Narrow" w:cs="Arial"/>
          <w:i/>
          <w:iCs/>
          <w:color w:val="44546A" w:themeColor="text2"/>
          <w:sz w:val="20"/>
          <w:szCs w:val="20"/>
        </w:rPr>
        <w:lastRenderedPageBreak/>
        <w:t>comerciantes. Também propõe a possibilidade de reconhecimento simbólico por meio de selos, como forma de valorizar e incentivar estabelecimentos que adotem tais medidas.</w:t>
      </w:r>
    </w:p>
    <w:p w14:paraId="274AC396" w14:textId="77777777" w:rsidR="008A396D" w:rsidRPr="008A396D" w:rsidRDefault="008A396D" w:rsidP="008A396D">
      <w:pPr>
        <w:spacing w:after="0" w:line="360" w:lineRule="auto"/>
        <w:ind w:left="3402"/>
        <w:jc w:val="both"/>
        <w:rPr>
          <w:rFonts w:ascii="Arial Narrow" w:hAnsi="Arial Narrow" w:cs="Arial"/>
          <w:i/>
          <w:iCs/>
          <w:color w:val="44546A" w:themeColor="text2"/>
          <w:sz w:val="20"/>
          <w:szCs w:val="20"/>
        </w:rPr>
      </w:pPr>
      <w:r w:rsidRPr="008A396D">
        <w:rPr>
          <w:rFonts w:ascii="Arial Narrow" w:hAnsi="Arial Narrow" w:cs="Arial"/>
          <w:i/>
          <w:iCs/>
          <w:color w:val="44546A" w:themeColor="text2"/>
          <w:sz w:val="20"/>
          <w:szCs w:val="20"/>
        </w:rPr>
        <w:t>Modelos semelhantes já são adotados com sucesso em países como Portugal, com o “Programa Comércio Seguro” da Polícia de Segurança Pública, e Espanha, com o “</w:t>
      </w:r>
      <w:proofErr w:type="spellStart"/>
      <w:r w:rsidRPr="008A396D">
        <w:rPr>
          <w:rFonts w:ascii="Arial Narrow" w:hAnsi="Arial Narrow" w:cs="Arial"/>
          <w:i/>
          <w:iCs/>
          <w:color w:val="44546A" w:themeColor="text2"/>
          <w:sz w:val="20"/>
          <w:szCs w:val="20"/>
        </w:rPr>
        <w:t>Plan</w:t>
      </w:r>
      <w:proofErr w:type="spellEnd"/>
      <w:r w:rsidRPr="008A396D">
        <w:rPr>
          <w:rFonts w:ascii="Arial Narrow" w:hAnsi="Arial Narrow" w:cs="Arial"/>
          <w:i/>
          <w:iCs/>
          <w:color w:val="44546A" w:themeColor="text2"/>
          <w:sz w:val="20"/>
          <w:szCs w:val="20"/>
        </w:rPr>
        <w:t xml:space="preserve"> Comercio Seguro” da Polícia Nacional. Em ambos os casos, a cooperação entre comerciantes e forças de segurança, aliada à educação preventiva, tem gerado resultados significativos na redução de crimes e na valorização das áreas comerciais.</w:t>
      </w:r>
    </w:p>
    <w:p w14:paraId="7A3E18D2" w14:textId="77777777" w:rsidR="008A396D" w:rsidRPr="008A396D" w:rsidRDefault="008A396D" w:rsidP="008A396D">
      <w:pPr>
        <w:spacing w:after="0" w:line="360" w:lineRule="auto"/>
        <w:ind w:left="3402"/>
        <w:jc w:val="both"/>
        <w:rPr>
          <w:rFonts w:ascii="Arial Narrow" w:hAnsi="Arial Narrow" w:cs="Arial"/>
          <w:i/>
          <w:iCs/>
          <w:color w:val="44546A" w:themeColor="text2"/>
          <w:sz w:val="20"/>
          <w:szCs w:val="20"/>
        </w:rPr>
      </w:pPr>
      <w:r w:rsidRPr="008A396D">
        <w:rPr>
          <w:rFonts w:ascii="Arial Narrow" w:hAnsi="Arial Narrow" w:cs="Arial"/>
          <w:i/>
          <w:iCs/>
          <w:color w:val="44546A" w:themeColor="text2"/>
          <w:sz w:val="20"/>
          <w:szCs w:val="20"/>
        </w:rPr>
        <w:t>No Brasil, embora ainda não haja legislação federal específica sobre o tema, o marco legal da segurança privada (Lei nº 14.967/2024 e Portaria DG/PF nº 18.045/2023) e as legislações estaduais sobre prevenção a incêndios e videomonitoramento estabelecem parâmetros que reforçam a importância de medidas voluntárias de segurança adotadas no âmbito local.</w:t>
      </w:r>
    </w:p>
    <w:p w14:paraId="3B4B2D7F" w14:textId="77777777" w:rsidR="008A396D" w:rsidRPr="008A396D" w:rsidRDefault="008A396D" w:rsidP="008A396D">
      <w:pPr>
        <w:spacing w:after="0" w:line="360" w:lineRule="auto"/>
        <w:ind w:left="3402"/>
        <w:jc w:val="both"/>
        <w:rPr>
          <w:rFonts w:ascii="Arial Narrow" w:hAnsi="Arial Narrow" w:cs="Arial"/>
          <w:i/>
          <w:iCs/>
          <w:color w:val="44546A" w:themeColor="text2"/>
          <w:sz w:val="20"/>
          <w:szCs w:val="20"/>
        </w:rPr>
      </w:pPr>
      <w:r w:rsidRPr="008A396D">
        <w:rPr>
          <w:rFonts w:ascii="Arial Narrow" w:hAnsi="Arial Narrow" w:cs="Arial"/>
          <w:i/>
          <w:iCs/>
          <w:color w:val="44546A" w:themeColor="text2"/>
          <w:sz w:val="20"/>
          <w:szCs w:val="20"/>
        </w:rPr>
        <w:t>Portanto, ao estabelecer diretrizes para fortalecer a cultura da prevenção, da colaboração e da segurança no comércio sete-</w:t>
      </w:r>
      <w:proofErr w:type="spellStart"/>
      <w:r w:rsidRPr="008A396D">
        <w:rPr>
          <w:rFonts w:ascii="Arial Narrow" w:hAnsi="Arial Narrow" w:cs="Arial"/>
          <w:i/>
          <w:iCs/>
          <w:color w:val="44546A" w:themeColor="text2"/>
          <w:sz w:val="20"/>
          <w:szCs w:val="20"/>
        </w:rPr>
        <w:t>lagoano</w:t>
      </w:r>
      <w:proofErr w:type="spellEnd"/>
      <w:r w:rsidRPr="008A396D">
        <w:rPr>
          <w:rFonts w:ascii="Arial Narrow" w:hAnsi="Arial Narrow" w:cs="Arial"/>
          <w:i/>
          <w:iCs/>
          <w:color w:val="44546A" w:themeColor="text2"/>
          <w:sz w:val="20"/>
          <w:szCs w:val="20"/>
        </w:rPr>
        <w:t>, este projeto contribui diretamente para o desenvolvimento econômico, a tranquilidade social e a valorização da cidadania.</w:t>
      </w: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256F5182" w14:textId="66E99B41" w:rsidR="00537445" w:rsidRPr="005E0151" w:rsidRDefault="0082581D" w:rsidP="00CE4ACB">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0A8C5E8" w14:textId="77777777" w:rsidR="000749CD" w:rsidRDefault="000749CD" w:rsidP="00715067">
      <w:pPr>
        <w:ind w:firstLine="1134"/>
        <w:jc w:val="both"/>
        <w:rPr>
          <w:rFonts w:ascii="Arial Narrow" w:hAnsi="Arial Narrow"/>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6ABDD1D5"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3B8F00EF" w14:textId="77777777" w:rsidR="00624B40" w:rsidRPr="00154CCA" w:rsidRDefault="00624B40" w:rsidP="00624B40">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1D32068" w14:textId="77777777" w:rsidR="00624B40" w:rsidRDefault="00624B40" w:rsidP="00577C06">
      <w:pPr>
        <w:ind w:firstLine="1134"/>
        <w:jc w:val="both"/>
        <w:rPr>
          <w:rFonts w:ascii="Arial Narrow" w:hAnsi="Arial Narrow"/>
        </w:rPr>
      </w:pP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7C97FE12" w14:textId="629112B2" w:rsidR="00577C06" w:rsidRDefault="009D3B07" w:rsidP="00624B40">
      <w:pPr>
        <w:spacing w:line="240" w:lineRule="auto"/>
        <w:ind w:left="426" w:firstLine="708"/>
        <w:jc w:val="both"/>
        <w:rPr>
          <w:rFonts w:ascii="Arial Narrow" w:hAnsi="Arial Narrow"/>
          <w:sz w:val="20"/>
          <w:szCs w:val="20"/>
        </w:rPr>
      </w:pPr>
      <w:r>
        <w:rPr>
          <w:rFonts w:ascii="Arial Narrow" w:hAnsi="Arial Narrow"/>
        </w:rPr>
        <w:t>Assim entende a jurisprudência:</w:t>
      </w:r>
    </w:p>
    <w:p w14:paraId="6EEAF10E" w14:textId="462EA40A" w:rsidR="009D3B07" w:rsidRDefault="009D3B07" w:rsidP="00577C06">
      <w:pPr>
        <w:spacing w:line="240" w:lineRule="auto"/>
        <w:ind w:left="2268"/>
        <w:jc w:val="both"/>
        <w:rPr>
          <w:rFonts w:ascii="Arial Narrow" w:hAnsi="Arial Narrow"/>
          <w:sz w:val="20"/>
          <w:szCs w:val="20"/>
        </w:rPr>
      </w:pPr>
    </w:p>
    <w:p w14:paraId="217FB824" w14:textId="77777777" w:rsidR="009D3B07" w:rsidRP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w:t>
      </w:r>
      <w:r w:rsidRPr="009D3B07">
        <w:rPr>
          <w:rFonts w:ascii="Arial Narrow" w:hAnsi="Arial Narrow"/>
          <w:sz w:val="20"/>
          <w:szCs w:val="20"/>
        </w:rPr>
        <w:lastRenderedPageBreak/>
        <w:t xml:space="preserve">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3BC7FF64" w14:textId="77777777" w:rsidR="009D3B07" w:rsidRPr="009D3B07" w:rsidRDefault="009D3B07" w:rsidP="009D3B07">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w:t>
      </w:r>
      <w:r w:rsidRPr="00AE5E44">
        <w:rPr>
          <w:rFonts w:ascii="Arial Narrow" w:hAnsi="Arial Narrow"/>
        </w:rPr>
        <w:lastRenderedPageBreak/>
        <w:t>jurídico de servidores municipais. Cuida apenas de diretrizes que nortearão as políticas públicas do Município</w:t>
      </w:r>
      <w:r>
        <w:rPr>
          <w:rFonts w:ascii="Arial Narrow" w:hAnsi="Arial Narrow"/>
        </w:rPr>
        <w:t>.</w:t>
      </w:r>
    </w:p>
    <w:p w14:paraId="2F7CD05B" w14:textId="14551210" w:rsidR="00C866B5" w:rsidRDefault="007B3D58" w:rsidP="00667AAD">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1EA2A923" w14:textId="77777777" w:rsidR="00667AAD" w:rsidRDefault="00667AAD" w:rsidP="00667AAD">
      <w:pPr>
        <w:spacing w:line="276" w:lineRule="auto"/>
        <w:ind w:firstLine="1134"/>
        <w:jc w:val="both"/>
        <w:rPr>
          <w:rFonts w:ascii="Arial Narrow" w:hAnsi="Arial Narrow"/>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2DC747E6" w:rsidR="006A487E"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8A396D">
        <w:rPr>
          <w:rFonts w:ascii="Arial Narrow" w:hAnsi="Arial Narrow"/>
        </w:rPr>
        <w:t>304</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45A97E95" w14:textId="77777777" w:rsidR="006A487E" w:rsidRPr="00F718E8" w:rsidRDefault="006A487E" w:rsidP="006A487E">
      <w:pPr>
        <w:spacing w:line="276" w:lineRule="auto"/>
        <w:ind w:firstLine="1134"/>
        <w:jc w:val="both"/>
        <w:rPr>
          <w:rFonts w:ascii="Arial Narrow" w:hAnsi="Arial Narrow"/>
          <w:sz w:val="24"/>
          <w:szCs w:val="24"/>
        </w:rPr>
      </w:pPr>
      <w:r w:rsidRPr="00F718E8">
        <w:rPr>
          <w:rFonts w:ascii="Arial Narrow" w:hAnsi="Arial Narrow"/>
          <w:sz w:val="24"/>
          <w:szCs w:val="24"/>
        </w:rPr>
        <w:t>Desta feita,</w:t>
      </w:r>
      <w:r>
        <w:rPr>
          <w:rFonts w:ascii="Arial Narrow" w:hAnsi="Arial Narrow"/>
          <w:sz w:val="24"/>
          <w:szCs w:val="24"/>
        </w:rPr>
        <w:t xml:space="preserve"> a proposição </w:t>
      </w:r>
      <w:r w:rsidRPr="00F718E8">
        <w:rPr>
          <w:rFonts w:ascii="Arial Narrow" w:hAnsi="Arial Narrow"/>
          <w:sz w:val="24"/>
          <w:szCs w:val="24"/>
        </w:rPr>
        <w:t xml:space="preserve">reúne condições de validamente prosperar. </w:t>
      </w:r>
    </w:p>
    <w:p w14:paraId="636A9345" w14:textId="4C938B4A" w:rsidR="00577C06" w:rsidRPr="00577C06" w:rsidRDefault="00577C06" w:rsidP="00AA1405">
      <w:pPr>
        <w:ind w:firstLine="1134"/>
        <w:jc w:val="both"/>
        <w:rPr>
          <w:rFonts w:ascii="Arial Narrow" w:hAnsi="Arial Narrow"/>
        </w:rPr>
      </w:pPr>
      <w:r w:rsidRPr="00577C06">
        <w:rPr>
          <w:rFonts w:ascii="Arial Narrow" w:hAnsi="Arial Narrow"/>
        </w:rPr>
        <w:t xml:space="preserve">                     </w:t>
      </w:r>
    </w:p>
    <w:p w14:paraId="0AA0A5B2" w14:textId="77777777" w:rsidR="00577C06" w:rsidRPr="00577C06" w:rsidRDefault="00577C06" w:rsidP="00577C06">
      <w:pPr>
        <w:jc w:val="center"/>
        <w:rPr>
          <w:rFonts w:ascii="Arial Narrow" w:hAnsi="Arial Narrow"/>
        </w:rPr>
      </w:pP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A396D"/>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233049827">
      <w:bodyDiv w:val="1"/>
      <w:marLeft w:val="0"/>
      <w:marRight w:val="0"/>
      <w:marTop w:val="0"/>
      <w:marBottom w:val="0"/>
      <w:divBdr>
        <w:top w:val="none" w:sz="0" w:space="0" w:color="auto"/>
        <w:left w:val="none" w:sz="0" w:space="0" w:color="auto"/>
        <w:bottom w:val="none" w:sz="0" w:space="0" w:color="auto"/>
        <w:right w:val="none" w:sz="0" w:space="0" w:color="auto"/>
      </w:divBdr>
    </w:div>
    <w:div w:id="376662714">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984003607">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7631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2025-03-11T14:35:00Z</cp:lastPrinted>
  <dcterms:created xsi:type="dcterms:W3CDTF">2025-05-08T19:08:00Z</dcterms:created>
  <dcterms:modified xsi:type="dcterms:W3CDTF">2025-05-08T19:08:00Z</dcterms:modified>
</cp:coreProperties>
</file>