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C4BF" w14:textId="0A17C62F" w:rsidR="00872865" w:rsidRDefault="00872865" w:rsidP="00872865">
      <w:pPr>
        <w:pStyle w:val="Standard"/>
        <w:jc w:val="both"/>
        <w:rPr>
          <w:rFonts w:cs="Times New Roman"/>
          <w:sz w:val="28"/>
          <w:szCs w:val="28"/>
        </w:rPr>
      </w:pPr>
    </w:p>
    <w:p w14:paraId="4D1AA2A9" w14:textId="11DEFFF8" w:rsidR="00995177" w:rsidRDefault="00995177" w:rsidP="00872865">
      <w:pPr>
        <w:pStyle w:val="Standard"/>
        <w:jc w:val="both"/>
        <w:rPr>
          <w:rFonts w:cs="Times New Roman"/>
          <w:sz w:val="28"/>
          <w:szCs w:val="28"/>
        </w:rPr>
      </w:pPr>
    </w:p>
    <w:p w14:paraId="330E8704" w14:textId="4F5E6797" w:rsidR="00995177" w:rsidRDefault="00995177" w:rsidP="00872865">
      <w:pPr>
        <w:pStyle w:val="Standard"/>
        <w:jc w:val="both"/>
        <w:rPr>
          <w:rFonts w:cs="Times New Roman"/>
          <w:sz w:val="28"/>
          <w:szCs w:val="28"/>
        </w:rPr>
      </w:pPr>
    </w:p>
    <w:p w14:paraId="2C9E9DCB" w14:textId="77777777" w:rsidR="00556C24" w:rsidRDefault="00556C24" w:rsidP="006273A4">
      <w:pPr>
        <w:jc w:val="center"/>
        <w:rPr>
          <w:rFonts w:ascii="Arial" w:hAnsi="Arial" w:cs="Arial"/>
          <w:b/>
        </w:rPr>
      </w:pPr>
    </w:p>
    <w:p w14:paraId="5C183662" w14:textId="77777777" w:rsidR="00556C24" w:rsidRDefault="00556C24" w:rsidP="004B37E3">
      <w:pPr>
        <w:rPr>
          <w:rFonts w:ascii="Arial" w:hAnsi="Arial" w:cs="Arial"/>
          <w:b/>
        </w:rPr>
      </w:pPr>
    </w:p>
    <w:p w14:paraId="27EB2BF0" w14:textId="3B30AF28" w:rsidR="006273A4" w:rsidRPr="006273A4" w:rsidRDefault="00530599" w:rsidP="003B7E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SUBSTITUTIVO 01 AO </w:t>
      </w:r>
      <w:r w:rsidR="006273A4" w:rsidRPr="006273A4">
        <w:rPr>
          <w:rFonts w:ascii="Arial" w:hAnsi="Arial" w:cs="Arial"/>
          <w:b/>
        </w:rPr>
        <w:t xml:space="preserve">PROJETO DE LEI </w:t>
      </w:r>
      <w:r w:rsidR="003B7E68">
        <w:rPr>
          <w:rFonts w:ascii="Arial" w:hAnsi="Arial" w:cs="Arial"/>
          <w:b/>
        </w:rPr>
        <w:t>Nº</w:t>
      </w:r>
      <w:r w:rsidR="00A845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118 </w:t>
      </w:r>
      <w:r w:rsidR="006273A4" w:rsidRPr="006273A4">
        <w:rPr>
          <w:rFonts w:ascii="Arial" w:hAnsi="Arial" w:cs="Arial"/>
          <w:b/>
        </w:rPr>
        <w:t>/202</w:t>
      </w:r>
      <w:r w:rsidR="004B37E3">
        <w:rPr>
          <w:rFonts w:ascii="Arial" w:hAnsi="Arial" w:cs="Arial"/>
          <w:b/>
        </w:rPr>
        <w:t>5</w:t>
      </w:r>
    </w:p>
    <w:p w14:paraId="040163F8" w14:textId="77777777" w:rsidR="001C3A22" w:rsidRDefault="001C3A22" w:rsidP="001C3A22">
      <w:pPr>
        <w:jc w:val="both"/>
        <w:rPr>
          <w:rFonts w:ascii="Arial" w:hAnsi="Arial" w:cs="Arial"/>
        </w:rPr>
      </w:pPr>
    </w:p>
    <w:p w14:paraId="4464C309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7ACC2300" w14:textId="576F55C8" w:rsidR="007201F1" w:rsidRPr="00530599" w:rsidRDefault="00530599" w:rsidP="003B7E68">
      <w:pPr>
        <w:ind w:left="453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ALTERA A LEI Nº 7161, DE 25 DE MAIO DE 2025</w:t>
      </w:r>
      <w:r>
        <w:rPr>
          <w:rFonts w:ascii="Arial" w:hAnsi="Arial" w:cs="Arial"/>
        </w:rPr>
        <w:t xml:space="preserve">, </w:t>
      </w:r>
      <w:r w:rsidRPr="00530599">
        <w:rPr>
          <w:rFonts w:ascii="Arial" w:hAnsi="Arial" w:cs="Arial"/>
          <w:b/>
          <w:bCs/>
        </w:rPr>
        <w:t>QUE "DISPÕE SOBRE A RESERVA DE ASSENTOS NOS VEÍCULOS DO SISTEMA DE TRANSPORTE COLETIVO URBANO DE PASSAGEIROS NO MUNICÍPIO DE SETE LAGOAS", PARA ESTABELECER A PRIORIDADE DE TODOS OS ASSENTOS.</w:t>
      </w:r>
    </w:p>
    <w:p w14:paraId="0467BB8D" w14:textId="77777777" w:rsidR="00A845F1" w:rsidRDefault="00A845F1" w:rsidP="001C3A22">
      <w:pPr>
        <w:jc w:val="both"/>
        <w:rPr>
          <w:rFonts w:ascii="Arial" w:hAnsi="Arial" w:cs="Arial"/>
        </w:rPr>
      </w:pPr>
    </w:p>
    <w:p w14:paraId="1A92D024" w14:textId="77777777" w:rsidR="00A845F1" w:rsidRDefault="00A845F1" w:rsidP="001C3A22">
      <w:pPr>
        <w:jc w:val="both"/>
        <w:rPr>
          <w:rFonts w:ascii="Arial" w:hAnsi="Arial" w:cs="Arial"/>
        </w:rPr>
      </w:pPr>
    </w:p>
    <w:p w14:paraId="196950C6" w14:textId="61170761" w:rsidR="00530599" w:rsidRDefault="003D3F6C" w:rsidP="003B7E68">
      <w:pPr>
        <w:jc w:val="both"/>
        <w:rPr>
          <w:rFonts w:ascii="Arial" w:hAnsi="Arial" w:cs="Arial"/>
        </w:rPr>
      </w:pPr>
      <w:r w:rsidRPr="005277F3">
        <w:rPr>
          <w:rFonts w:ascii="Arial" w:hAnsi="Arial" w:cs="Arial"/>
        </w:rPr>
        <w:t>Art.</w:t>
      </w:r>
      <w:r w:rsidR="001C3A22" w:rsidRPr="005277F3">
        <w:rPr>
          <w:rFonts w:ascii="Arial" w:hAnsi="Arial" w:cs="Arial"/>
        </w:rPr>
        <w:t xml:space="preserve"> 1°</w:t>
      </w:r>
      <w:r w:rsidR="006273A4" w:rsidRPr="005277F3">
        <w:rPr>
          <w:rFonts w:ascii="Arial" w:hAnsi="Arial" w:cs="Arial"/>
        </w:rPr>
        <w:t xml:space="preserve"> -</w:t>
      </w:r>
      <w:r w:rsidRPr="005277F3">
        <w:rPr>
          <w:rFonts w:ascii="Arial" w:hAnsi="Arial" w:cs="Arial"/>
        </w:rPr>
        <w:t xml:space="preserve"> </w:t>
      </w:r>
      <w:r w:rsidR="00530599" w:rsidRPr="00530599">
        <w:rPr>
          <w:rFonts w:ascii="Arial" w:hAnsi="Arial" w:cs="Arial"/>
        </w:rPr>
        <w:t xml:space="preserve">O art. </w:t>
      </w:r>
      <w:r w:rsidR="00530599">
        <w:rPr>
          <w:rFonts w:ascii="Arial" w:hAnsi="Arial" w:cs="Arial"/>
        </w:rPr>
        <w:t>3</w:t>
      </w:r>
      <w:r w:rsidR="00530599" w:rsidRPr="00530599">
        <w:rPr>
          <w:rFonts w:ascii="Arial" w:hAnsi="Arial" w:cs="Arial"/>
        </w:rPr>
        <w:t>º da Lei Municipal nº 7.161, de 25 de maio de 2005, passa a vigorar com a seguinte redação:</w:t>
      </w:r>
    </w:p>
    <w:p w14:paraId="2B31CE3A" w14:textId="77777777" w:rsidR="00530599" w:rsidRDefault="00530599" w:rsidP="003B7E68">
      <w:pPr>
        <w:jc w:val="both"/>
        <w:rPr>
          <w:rFonts w:ascii="Arial" w:hAnsi="Arial" w:cs="Arial"/>
        </w:rPr>
      </w:pPr>
    </w:p>
    <w:p w14:paraId="5FD0185A" w14:textId="7046D1AF" w:rsidR="00530599" w:rsidRDefault="00530599" w:rsidP="00530599">
      <w:pPr>
        <w:ind w:left="1134"/>
        <w:jc w:val="both"/>
        <w:rPr>
          <w:rFonts w:ascii="Arial" w:hAnsi="Arial" w:cs="Arial"/>
        </w:rPr>
      </w:pPr>
      <w:r w:rsidRPr="00530599">
        <w:rPr>
          <w:rFonts w:ascii="Arial" w:hAnsi="Arial" w:cs="Arial"/>
        </w:rPr>
        <w:t xml:space="preserve">"Art. </w:t>
      </w:r>
      <w:r>
        <w:rPr>
          <w:rFonts w:ascii="Arial" w:hAnsi="Arial" w:cs="Arial"/>
        </w:rPr>
        <w:t>3</w:t>
      </w:r>
      <w:r w:rsidRPr="00530599">
        <w:rPr>
          <w:rFonts w:ascii="Arial" w:hAnsi="Arial" w:cs="Arial"/>
        </w:rPr>
        <w:t>º Ficam destinados todos os assentos dos veículos do sistema de transporte coletivo urbano de passageiros no Município de Sete Lagoas como prioritários."</w:t>
      </w:r>
    </w:p>
    <w:p w14:paraId="24D89E2C" w14:textId="77777777" w:rsidR="00530599" w:rsidRDefault="00530599" w:rsidP="003B7E68">
      <w:pPr>
        <w:jc w:val="both"/>
        <w:rPr>
          <w:rFonts w:ascii="Arial" w:hAnsi="Arial" w:cs="Arial"/>
        </w:rPr>
      </w:pPr>
    </w:p>
    <w:p w14:paraId="1671C200" w14:textId="65B0F117" w:rsidR="006273A4" w:rsidRDefault="006D619E" w:rsidP="001C3A22">
      <w:pPr>
        <w:jc w:val="both"/>
        <w:rPr>
          <w:rFonts w:ascii="Arial" w:hAnsi="Arial" w:cs="Arial"/>
        </w:rPr>
      </w:pPr>
      <w:r w:rsidRPr="005277F3">
        <w:rPr>
          <w:rFonts w:ascii="Arial" w:hAnsi="Arial" w:cs="Arial"/>
        </w:rPr>
        <w:t>Ar</w:t>
      </w:r>
      <w:r w:rsidR="005C4B58" w:rsidRPr="005277F3">
        <w:rPr>
          <w:rFonts w:ascii="Arial" w:hAnsi="Arial" w:cs="Arial"/>
        </w:rPr>
        <w:t xml:space="preserve">t. 2°- </w:t>
      </w:r>
      <w:r w:rsidR="005277F3" w:rsidRPr="005277F3">
        <w:rPr>
          <w:rFonts w:ascii="Arial" w:hAnsi="Arial" w:cs="Arial"/>
        </w:rPr>
        <w:t xml:space="preserve">Esta lei entra em vigor </w:t>
      </w:r>
      <w:r w:rsidR="001C3A22" w:rsidRPr="006273A4">
        <w:rPr>
          <w:rFonts w:ascii="Arial" w:hAnsi="Arial" w:cs="Arial"/>
        </w:rPr>
        <w:t>na data de sua publicaçã</w:t>
      </w:r>
      <w:r w:rsidR="00530599">
        <w:rPr>
          <w:rFonts w:ascii="Arial" w:hAnsi="Arial" w:cs="Arial"/>
        </w:rPr>
        <w:t>o</w:t>
      </w:r>
      <w:r w:rsidR="001C3A22" w:rsidRPr="006273A4">
        <w:rPr>
          <w:rFonts w:ascii="Arial" w:hAnsi="Arial" w:cs="Arial"/>
        </w:rPr>
        <w:t xml:space="preserve">. </w:t>
      </w:r>
    </w:p>
    <w:p w14:paraId="252C465B" w14:textId="501DFA03" w:rsidR="001C3A22" w:rsidRDefault="001C3A22" w:rsidP="001C3A22">
      <w:pPr>
        <w:jc w:val="both"/>
        <w:rPr>
          <w:rFonts w:ascii="Arial" w:hAnsi="Arial" w:cs="Arial"/>
        </w:rPr>
      </w:pPr>
    </w:p>
    <w:p w14:paraId="290D2C31" w14:textId="77777777" w:rsidR="00530599" w:rsidRPr="006273A4" w:rsidRDefault="00530599" w:rsidP="001C3A22">
      <w:pPr>
        <w:jc w:val="both"/>
        <w:rPr>
          <w:rFonts w:ascii="Arial" w:hAnsi="Arial" w:cs="Arial"/>
        </w:rPr>
      </w:pPr>
    </w:p>
    <w:p w14:paraId="1ED433EE" w14:textId="4D297022" w:rsidR="008868EF" w:rsidRPr="009005C4" w:rsidRDefault="008868EF" w:rsidP="008868EF">
      <w:pPr>
        <w:pStyle w:val="Cabealho1"/>
        <w:spacing w:line="360" w:lineRule="auto"/>
        <w:jc w:val="center"/>
        <w:rPr>
          <w:rFonts w:ascii="Arial" w:eastAsia="Times" w:hAnsi="Arial" w:cs="Arial"/>
          <w:bCs/>
          <w:lang w:eastAsia="ar-SA"/>
        </w:rPr>
      </w:pPr>
      <w:r w:rsidRPr="009005C4">
        <w:rPr>
          <w:rFonts w:ascii="Arial" w:eastAsia="Times" w:hAnsi="Arial" w:cs="Arial"/>
          <w:bCs/>
          <w:lang w:eastAsia="ar-SA"/>
        </w:rPr>
        <w:t>Sete Lagoas, 0</w:t>
      </w:r>
      <w:r w:rsidR="00530599">
        <w:rPr>
          <w:rFonts w:ascii="Arial" w:eastAsia="Times" w:hAnsi="Arial" w:cs="Arial"/>
          <w:bCs/>
          <w:lang w:eastAsia="ar-SA"/>
        </w:rPr>
        <w:t>3</w:t>
      </w:r>
      <w:r w:rsidRPr="009005C4">
        <w:rPr>
          <w:rFonts w:ascii="Arial" w:eastAsia="Times" w:hAnsi="Arial" w:cs="Arial"/>
          <w:bCs/>
          <w:lang w:eastAsia="ar-SA"/>
        </w:rPr>
        <w:t xml:space="preserve"> de </w:t>
      </w:r>
      <w:r w:rsidR="00530599">
        <w:rPr>
          <w:rFonts w:ascii="Arial" w:eastAsia="Times" w:hAnsi="Arial" w:cs="Arial"/>
          <w:bCs/>
          <w:lang w:eastAsia="ar-SA"/>
        </w:rPr>
        <w:t>abril</w:t>
      </w:r>
      <w:r w:rsidRPr="009005C4">
        <w:rPr>
          <w:rFonts w:ascii="Arial" w:eastAsia="Times" w:hAnsi="Arial" w:cs="Arial"/>
          <w:bCs/>
          <w:lang w:eastAsia="ar-SA"/>
        </w:rPr>
        <w:t xml:space="preserve"> de 2025.</w:t>
      </w:r>
    </w:p>
    <w:p w14:paraId="4DD8E4A3" w14:textId="77777777" w:rsidR="008868EF" w:rsidRPr="00034146" w:rsidRDefault="008868EF" w:rsidP="008868EF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14C81D61" w14:textId="77777777" w:rsidR="008868EF" w:rsidRPr="00132BE5" w:rsidRDefault="008868EF" w:rsidP="008868EF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rFonts w:ascii="Times" w:eastAsia="DejaVu Sans" w:hAnsi="Times"/>
          <w:lang w:val="pt-BR" w:eastAsia="en-US" w:bidi="ar-SA"/>
        </w:rPr>
        <w:object w:dxaOrig="2385" w:dyaOrig="915" w14:anchorId="72180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7" o:title=""/>
          </v:shape>
          <o:OLEObject Type="Embed" ProgID="CorelDraw.Graphic.23" ShapeID="_x0000_i1025" DrawAspect="Content" ObjectID="_1805193291" r:id="rId8"/>
        </w:object>
      </w:r>
    </w:p>
    <w:p w14:paraId="4CA40E40" w14:textId="5640B3C3" w:rsidR="008868EF" w:rsidRDefault="008868EF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B3D1842" w14:textId="77777777" w:rsidR="00A60F82" w:rsidRDefault="00A60F82" w:rsidP="002556F3">
      <w:pPr>
        <w:jc w:val="center"/>
        <w:rPr>
          <w:rFonts w:ascii="Arial" w:hAnsi="Arial" w:cs="Arial"/>
          <w:b/>
        </w:rPr>
      </w:pPr>
    </w:p>
    <w:p w14:paraId="4CC398EC" w14:textId="77777777" w:rsidR="001C3A22" w:rsidRDefault="001C3A22" w:rsidP="002556F3">
      <w:pPr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14:paraId="06CE7040" w14:textId="77777777" w:rsidR="00A60F82" w:rsidRPr="00E9223A" w:rsidRDefault="00A60F82" w:rsidP="00A60F82">
      <w:pPr>
        <w:jc w:val="center"/>
        <w:rPr>
          <w:rFonts w:ascii="Arial" w:hAnsi="Arial" w:cs="Arial"/>
        </w:rPr>
      </w:pPr>
    </w:p>
    <w:p w14:paraId="09079E21" w14:textId="5190C9A0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>O presente Projeto de Lei visa destinar todos os assentos dos veículos do transporte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coletivo, de forma preferencial, para idosos, pessoas com deficiência, gestantes,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obesos e pessoas com crianças de colo.</w:t>
      </w:r>
    </w:p>
    <w:p w14:paraId="267A2726" w14:textId="77777777" w:rsidR="003B7E68" w:rsidRPr="003B7E68" w:rsidRDefault="003B7E68" w:rsidP="003B7E68">
      <w:pPr>
        <w:jc w:val="both"/>
        <w:rPr>
          <w:rFonts w:ascii="Arial" w:hAnsi="Arial" w:cs="Arial"/>
        </w:rPr>
      </w:pPr>
    </w:p>
    <w:p w14:paraId="18F04A12" w14:textId="1FF5DBAE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>Em que pese os veículos do transporte coletivo do município já disponibilizarem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alguns assentos preferenciais, é notório que, além de não serem suficientes, os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assentos disponíveis são ocupados por jovens, ou pessoas em perfeitas condições de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 xml:space="preserve">seguir o seu trajeto </w:t>
      </w:r>
      <w:r>
        <w:rPr>
          <w:rFonts w:ascii="Arial" w:hAnsi="Arial" w:cs="Arial"/>
        </w:rPr>
        <w:t>em</w:t>
      </w:r>
      <w:r w:rsidRPr="003B7E68">
        <w:rPr>
          <w:rFonts w:ascii="Arial" w:hAnsi="Arial" w:cs="Arial"/>
        </w:rPr>
        <w:t xml:space="preserve"> pé.</w:t>
      </w:r>
    </w:p>
    <w:p w14:paraId="2DE478E0" w14:textId="77777777" w:rsidR="003B7E68" w:rsidRPr="003B7E68" w:rsidRDefault="003B7E68" w:rsidP="003B7E68">
      <w:pPr>
        <w:jc w:val="both"/>
        <w:rPr>
          <w:rFonts w:ascii="Arial" w:hAnsi="Arial" w:cs="Arial"/>
        </w:rPr>
      </w:pPr>
    </w:p>
    <w:p w14:paraId="09E49E14" w14:textId="74BB249E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>As pessoas destinatárias deste projeto de lei necessitam de maiores cuidados, pois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encontram-se em condições de vulnerabilidade, mesmo que por um tempo</w:t>
      </w:r>
      <w:r>
        <w:rPr>
          <w:rFonts w:ascii="Arial" w:hAnsi="Arial" w:cs="Arial"/>
        </w:rPr>
        <w:t xml:space="preserve"> d</w:t>
      </w:r>
      <w:r w:rsidRPr="003B7E68">
        <w:rPr>
          <w:rFonts w:ascii="Arial" w:hAnsi="Arial" w:cs="Arial"/>
        </w:rPr>
        <w:t>eterminado, como é o caso das gestantes. Os idosos, por exemplo, estão mais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propícios ao desequilíbrio, devido à fragilidade proporcionada pela idade,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principalmente se colocados em situação de risco, em casos de freadas bruscas, ou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mesmo colisões, assim como como as pessoas com deficiências e crianças, podendo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sofrer sérios danos físicos.</w:t>
      </w:r>
    </w:p>
    <w:p w14:paraId="4A78C63F" w14:textId="77777777" w:rsidR="003B7E68" w:rsidRPr="003B7E68" w:rsidRDefault="003B7E68" w:rsidP="003B7E68">
      <w:pPr>
        <w:jc w:val="both"/>
        <w:rPr>
          <w:rFonts w:ascii="Arial" w:hAnsi="Arial" w:cs="Arial"/>
        </w:rPr>
      </w:pPr>
    </w:p>
    <w:p w14:paraId="4C9DFC45" w14:textId="4E70777D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>A obesidade, por sua vez, vem ganhando tratamento especial pelo legislador pátrio em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razão do aumento da população obesa, bem como pelo tratamento diferenciado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estabelecido pela Organização Mundial da Saúde - OMS. Ressalta-se que tal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diferenciação para os obesos já é uma realidade na legislação federal, como a Lei n°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10.048/2000, que dá prioridade no atendimento a diversas pessoas, dentre elas aquelas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acometidas de obesidade.</w:t>
      </w:r>
    </w:p>
    <w:p w14:paraId="4BA4CDDA" w14:textId="77777777" w:rsidR="003B7E68" w:rsidRPr="003B7E68" w:rsidRDefault="003B7E68" w:rsidP="003B7E68">
      <w:pPr>
        <w:jc w:val="both"/>
        <w:rPr>
          <w:rFonts w:ascii="Arial" w:hAnsi="Arial" w:cs="Arial"/>
        </w:rPr>
      </w:pPr>
    </w:p>
    <w:p w14:paraId="4AA1BCBA" w14:textId="35F95E14" w:rsidR="00817B1A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>É de conhecimento da população que não são raros os casos que jovens não cedem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lugar para gestantes, idosos, pessoas com deficiência, obesos e pessoas acompanhadas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de crianças de colo por se acharem no direito a um assento por serem pagantes. Não se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trata apenas aqui de uma questão de direito, mas de respeito, de solidariedade ao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outro, por se encontrar em desvantagem em relação aos que possuem melhores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condições físicas. Dessa forma, a norma vem regular um comportamento que deveria</w:t>
      </w:r>
      <w:r>
        <w:rPr>
          <w:rFonts w:ascii="Arial" w:hAnsi="Arial" w:cs="Arial"/>
        </w:rPr>
        <w:t xml:space="preserve"> </w:t>
      </w:r>
      <w:r w:rsidRPr="003B7E68">
        <w:rPr>
          <w:rFonts w:ascii="Arial" w:hAnsi="Arial" w:cs="Arial"/>
        </w:rPr>
        <w:t>ser natural do ser humano, o respeito ao próximo</w:t>
      </w:r>
    </w:p>
    <w:p w14:paraId="3A9B0420" w14:textId="67FA17D0" w:rsidR="003B7E68" w:rsidRDefault="003B7E68" w:rsidP="003B7E68">
      <w:pPr>
        <w:jc w:val="both"/>
        <w:rPr>
          <w:rFonts w:ascii="Arial" w:hAnsi="Arial" w:cs="Arial"/>
        </w:rPr>
      </w:pPr>
    </w:p>
    <w:p w14:paraId="33051B56" w14:textId="77777777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 xml:space="preserve">Salientamos, por oportuno que a matéria </w:t>
      </w:r>
      <w:proofErr w:type="gramStart"/>
      <w:r w:rsidRPr="003B7E68">
        <w:rPr>
          <w:rFonts w:ascii="Arial" w:hAnsi="Arial" w:cs="Arial"/>
        </w:rPr>
        <w:t>encontra-se</w:t>
      </w:r>
      <w:proofErr w:type="gramEnd"/>
      <w:r w:rsidRPr="003B7E68">
        <w:rPr>
          <w:rFonts w:ascii="Arial" w:hAnsi="Arial" w:cs="Arial"/>
        </w:rPr>
        <w:t xml:space="preserve"> dentro da competência municipal para legislar sobre interesse local, não constitui matéria de inciativa privativa do Poder Executivo e nem invade reserva de administração da Administração Pública. Trata-se de norma que busca efetivar no município a proteção e respeito ao idoso, pessoas portadoras de deficiência, gestantes e obesos. </w:t>
      </w:r>
    </w:p>
    <w:p w14:paraId="3CBC94F5" w14:textId="77777777" w:rsidR="003B7E68" w:rsidRDefault="003B7E68" w:rsidP="003B7E68">
      <w:pPr>
        <w:jc w:val="both"/>
        <w:rPr>
          <w:rFonts w:ascii="Arial" w:hAnsi="Arial" w:cs="Arial"/>
        </w:rPr>
      </w:pPr>
    </w:p>
    <w:p w14:paraId="2C221CCF" w14:textId="77777777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 xml:space="preserve">No que concerne à proteção às pessoas com deficiência ou mobilidade reduzida, ressaltamos que a Constituição Federal determina que podem legislar concorrentemente sobre o assunto a União, os Estados e o Distrito Federal (artigo 24, inciso XIV) e ao Município confere a competência legislativa suplementar (art. 30, inciso II), no âmbito do predominante interesse local (art. 30, inciso I). </w:t>
      </w:r>
    </w:p>
    <w:p w14:paraId="31DDA63C" w14:textId="77777777" w:rsidR="003B7E68" w:rsidRDefault="003B7E68" w:rsidP="003B7E68">
      <w:pPr>
        <w:jc w:val="both"/>
        <w:rPr>
          <w:rFonts w:ascii="Arial" w:hAnsi="Arial" w:cs="Arial"/>
        </w:rPr>
      </w:pPr>
    </w:p>
    <w:p w14:paraId="53549E3E" w14:textId="77777777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 xml:space="preserve">A Lei Federal n° 7.853/89, por seu turno, dispõe em seu art. 2° competir ao Poder Público e seus órgãos assegurar às pessoas com deficiência o pleno exercício dos direitos que propiciem seu bem-estar pessoal, social e econômico. A Constituição Federal, por meio de seu artigo 6°, inseriu entre os direitos fundamentais de natureza social a proteção à infância e à maternidade, bens jurídicos que também são contemplados pela propositura. </w:t>
      </w:r>
    </w:p>
    <w:p w14:paraId="03128948" w14:textId="77777777" w:rsidR="003B7E68" w:rsidRDefault="003B7E68" w:rsidP="003B7E68">
      <w:pPr>
        <w:jc w:val="both"/>
        <w:rPr>
          <w:rFonts w:ascii="Arial" w:hAnsi="Arial" w:cs="Arial"/>
        </w:rPr>
      </w:pPr>
    </w:p>
    <w:p w14:paraId="3DEB5E2A" w14:textId="77777777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lastRenderedPageBreak/>
        <w:t xml:space="preserve">Relevante mencionar, ademais, a competência para dispor sobre a defesa do consumidor, já que o art. 24, inciso V, da CF, dispõe ser da competência concorrente da União, Estados e Distrito Federal legislar sobre produção e consumo, e também dos Municípios, já que o art. 30, incisos I e II, permite-lhes legislar sobre assuntos de interesse local e suplementar a legislação federal e estadual no que couber. </w:t>
      </w:r>
    </w:p>
    <w:p w14:paraId="4E313EAF" w14:textId="77777777" w:rsidR="003B7E68" w:rsidRDefault="003B7E68" w:rsidP="003B7E68">
      <w:pPr>
        <w:jc w:val="both"/>
        <w:rPr>
          <w:rFonts w:ascii="Arial" w:hAnsi="Arial" w:cs="Arial"/>
        </w:rPr>
      </w:pPr>
    </w:p>
    <w:p w14:paraId="457695DB" w14:textId="77777777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 xml:space="preserve">Por outro lado, a jurisprudência embasa o mérito da iniciativa legislativa em tela. O Supremo Tribunal Federal já decidiu que é constitucional e não ofende a inciativa privativa do prefeito municipal, nem o princípio da separação dos poderes, a lei de inciativa parlamentar que, embora crie despesas e trate sobre fixação de placas educativas, prevê encargo inerente ao Poder Público a fim de concretizar direito estabelecido na Constituição Federal. </w:t>
      </w:r>
    </w:p>
    <w:p w14:paraId="006856CE" w14:textId="77777777" w:rsidR="003B7E68" w:rsidRDefault="003B7E68" w:rsidP="003B7E68">
      <w:pPr>
        <w:jc w:val="both"/>
        <w:rPr>
          <w:rFonts w:ascii="Arial" w:hAnsi="Arial" w:cs="Arial"/>
        </w:rPr>
      </w:pPr>
    </w:p>
    <w:p w14:paraId="72E5F70C" w14:textId="77777777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 xml:space="preserve">Vide ADI 4723; Ag.reg. no Recurso Extraordinário: </w:t>
      </w:r>
    </w:p>
    <w:p w14:paraId="662ACE49" w14:textId="77777777" w:rsidR="003B7E68" w:rsidRDefault="003B7E68" w:rsidP="003B7E68">
      <w:pPr>
        <w:jc w:val="both"/>
        <w:rPr>
          <w:rFonts w:ascii="Arial" w:hAnsi="Arial" w:cs="Arial"/>
        </w:rPr>
      </w:pPr>
    </w:p>
    <w:p w14:paraId="5186F3A0" w14:textId="4423E319" w:rsidR="003B7E68" w:rsidRPr="003B7E68" w:rsidRDefault="003B7E68" w:rsidP="003B7E68">
      <w:pPr>
        <w:ind w:left="2268"/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 xml:space="preserve">Re 1338645 RJ 0046963-08.2016.8.19.0000; ADI 5677. Vejamos decisões no mesmo sentido de outros tribunais: "AÇÃO DIRETA DE INCONSTITUCIONALIDADE - Lei n° 960, de 31 de março de 2011, do Município de Bertioga, que dispõe sobre a aposição de adesivos com mensagens à população nos ônibus e micro-ônibus que prestam o serviço de transporte público local de passageiros - Inocorrência de vício de iniciativa do projeto de lei deflagrado pelo Legislativo Municipal, haja vista que a norma editada não regula matéria estritamente administrativa, afeta ao Chefe do Poder Executivo, delimitada pelos artigos 24, §2°, 47, incisos XVII e XVIII, 166 e 174 da CE, aplicáveis ao ente municipal, por expressa imposição da norma contida no artigo 144 daquela mesma Carta - Previsão legal, na verdade, que se volta apenas à proteção </w:t>
      </w:r>
      <w:r w:rsidRPr="00554C35">
        <w:rPr>
          <w:rFonts w:ascii="Arial" w:hAnsi="Arial" w:cs="Arial"/>
        </w:rPr>
        <w:t>do</w:t>
      </w:r>
      <w:r w:rsidR="00554C35" w:rsidRPr="00554C35">
        <w:rPr>
          <w:rFonts w:ascii="Arial" w:hAnsi="Arial" w:cs="Arial"/>
        </w:rPr>
        <w:t xml:space="preserve"> meio ambiente e combate à poluição, mediante a formulação de campanha educativa</w:t>
      </w:r>
      <w:r w:rsidRPr="003B7E68">
        <w:rPr>
          <w:rFonts w:ascii="Arial" w:hAnsi="Arial" w:cs="Arial"/>
        </w:rPr>
        <w:t xml:space="preserve"> dirigida à população, nos exatos limites da competência atribuída ao ente público municipal pelo art. 23 da CF - Legislação, ademais, que não implica no aumento de despesa do Município, uma vez que o dever de fiscalização do cumprimento das normas é conatural aos atos normativos e não tem efeito de gerar gastos extraordinários -Ato normativo que, além disso, vigora há mais de dois anos e provavelmente já foi observado pelas empresas de transporte coletivo às quais se dirige, não trazendo repercussão material expressiva no custo da atividade - Ação Direta de Inconstitucionalidade julgada improcedente." (Tribunal de Justiça do Estado de São Paulo, Órgão Especial, ADI n° 0082191-54.2013.8.26.0000, j. 21 de agosto de 2013, Rel. Des. Paulo Dimas </w:t>
      </w:r>
      <w:proofErr w:type="spellStart"/>
      <w:r w:rsidRPr="003B7E68">
        <w:rPr>
          <w:rFonts w:ascii="Arial" w:hAnsi="Arial" w:cs="Arial"/>
        </w:rPr>
        <w:t>Marcaretti</w:t>
      </w:r>
      <w:proofErr w:type="spellEnd"/>
      <w:r w:rsidRPr="003B7E68">
        <w:rPr>
          <w:rFonts w:ascii="Arial" w:hAnsi="Arial" w:cs="Arial"/>
        </w:rPr>
        <w:t xml:space="preserve">). </w:t>
      </w:r>
    </w:p>
    <w:p w14:paraId="63F1FCDA" w14:textId="77777777" w:rsidR="003B7E68" w:rsidRPr="003B7E68" w:rsidRDefault="003B7E68" w:rsidP="003B7E68">
      <w:pPr>
        <w:ind w:left="2268"/>
        <w:jc w:val="both"/>
        <w:rPr>
          <w:rFonts w:ascii="Arial" w:hAnsi="Arial" w:cs="Arial"/>
        </w:rPr>
      </w:pPr>
    </w:p>
    <w:p w14:paraId="6417CD22" w14:textId="77777777" w:rsidR="003B7E68" w:rsidRPr="003B7E68" w:rsidRDefault="003B7E68" w:rsidP="003B7E68">
      <w:pPr>
        <w:ind w:left="2268"/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 xml:space="preserve">"AÇÃO DIRETA DE INCONSTITUCIONALIDADE. Lei municipal de origem parlamentar que institui campanha de orientação e conscientização sobre as consequências do acúmulo de lixo nas ruas do Município de Jundiá. Inconstitucionalidade. Inocorrência. Inexistência de vício de iniciativa: o rol de iniciativas legislativas reservadas ao Chefe do Poder Executivo é matéria taxativamente disposta na Constituição Estadual. Inexiste ofensa às iniciativas legislativas reservadas ao Chefe do Executivo, ademais, em razão da imposição de gastos à Administração. Precedentes do STF. Não ocorrência de ofensa à regra da separação dos poderes. Inexistência de usurpação de quaisquer das atribuições administrativas </w:t>
      </w:r>
      <w:r w:rsidRPr="003B7E68">
        <w:rPr>
          <w:rFonts w:ascii="Arial" w:hAnsi="Arial" w:cs="Arial"/>
        </w:rPr>
        <w:lastRenderedPageBreak/>
        <w:t xml:space="preserve">reservadas ao Chefe do Poder Executivo, previstas no artigo 47 da Constituição do Estado de São Paulo. Lei que cuida de assunto local, relativo à proteção do meio ambiente e controle da poluição. Precedentes deste Órgão Especial. Ausência de dotação orçamentária específica que não torna a lei inconstitucional, importando, no máximo, na inexequibilidade da norma no mesmo exercício orçamentário em que fora promulgada. Precedentes do STF. Procedência parcial do pedido. Expressões e dispositivos legais que fazem referência genérica à sanção de multa, sem, contudo, prever de forma exata e clara o 'quantum' cominado para a hipótese de infração administrativa, o que contrasta com o princípio da legalidade estipulado no artigo 111 da Constituição Paulista. Vedado ao Poder Legislativo deixar ao arbítrio do administrador a </w:t>
      </w:r>
    </w:p>
    <w:p w14:paraId="39094BE4" w14:textId="77777777" w:rsidR="003B7E68" w:rsidRPr="003B7E68" w:rsidRDefault="003B7E68" w:rsidP="003B7E68">
      <w:pPr>
        <w:jc w:val="both"/>
        <w:rPr>
          <w:rFonts w:ascii="Arial" w:hAnsi="Arial" w:cs="Arial"/>
        </w:rPr>
      </w:pPr>
    </w:p>
    <w:p w14:paraId="00707EC0" w14:textId="6C8A63F6" w:rsidR="003B7E68" w:rsidRDefault="003B7E68" w:rsidP="003B7E68">
      <w:pPr>
        <w:jc w:val="both"/>
        <w:rPr>
          <w:rFonts w:ascii="Arial" w:hAnsi="Arial" w:cs="Arial"/>
        </w:rPr>
      </w:pPr>
      <w:r w:rsidRPr="003B7E68">
        <w:rPr>
          <w:rFonts w:ascii="Arial" w:hAnsi="Arial" w:cs="Arial"/>
        </w:rPr>
        <w:t>Diante do exposto, peço atenção dos vereadores desta Casa Legislativa para que possamos proteger nossos idosos e demais destinatários deste projeto de lei.</w:t>
      </w:r>
    </w:p>
    <w:p w14:paraId="1429C36A" w14:textId="213A747B" w:rsidR="003B7E68" w:rsidRDefault="003B7E68" w:rsidP="003B7E68">
      <w:pPr>
        <w:jc w:val="both"/>
        <w:rPr>
          <w:rFonts w:ascii="Arial" w:hAnsi="Arial" w:cs="Arial"/>
        </w:rPr>
      </w:pPr>
    </w:p>
    <w:p w14:paraId="5A934449" w14:textId="77777777" w:rsidR="003B7E68" w:rsidRPr="003B7E68" w:rsidRDefault="003B7E68" w:rsidP="003B7E68">
      <w:pPr>
        <w:jc w:val="both"/>
        <w:rPr>
          <w:rFonts w:ascii="Arial" w:hAnsi="Arial" w:cs="Arial"/>
        </w:rPr>
      </w:pPr>
    </w:p>
    <w:sectPr w:rsidR="003B7E68" w:rsidRPr="003B7E68" w:rsidSect="00C66601">
      <w:headerReference w:type="even" r:id="rId9"/>
      <w:headerReference w:type="default" r:id="rId10"/>
      <w:headerReference w:type="first" r:id="rId11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A773" w14:textId="77777777" w:rsidR="009E2B2B" w:rsidRDefault="009E2B2B">
      <w:r>
        <w:separator/>
      </w:r>
    </w:p>
  </w:endnote>
  <w:endnote w:type="continuationSeparator" w:id="0">
    <w:p w14:paraId="79F72E83" w14:textId="77777777" w:rsidR="009E2B2B" w:rsidRDefault="009E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43E2" w14:textId="77777777" w:rsidR="009E2B2B" w:rsidRDefault="009E2B2B">
      <w:r>
        <w:separator/>
      </w:r>
    </w:p>
  </w:footnote>
  <w:footnote w:type="continuationSeparator" w:id="0">
    <w:p w14:paraId="3F8C7530" w14:textId="77777777" w:rsidR="009E2B2B" w:rsidRDefault="009E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E09E" w14:textId="77777777" w:rsidR="00314C24" w:rsidRDefault="00995177">
    <w:pPr>
      <w:pStyle w:val="Cabealho"/>
    </w:pPr>
    <w:r>
      <w:rPr>
        <w:noProof/>
      </w:rPr>
      <w:pict w14:anchorId="6C852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0D0" w14:textId="77777777" w:rsidR="00B0788F" w:rsidRPr="008D6C3E" w:rsidRDefault="0099517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4A532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28879D1" wp14:editId="78B648B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40FEBF3" wp14:editId="71DB72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503DAF55" w14:textId="77777777" w:rsidR="00B0788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97C2C90" w14:textId="77777777" w:rsidR="00B0788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BC6849A" w14:textId="77777777" w:rsidR="00B0788F" w:rsidRDefault="00995177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B3E6" w14:textId="77777777" w:rsidR="00314C24" w:rsidRDefault="00995177">
    <w:pPr>
      <w:pStyle w:val="Cabealho"/>
    </w:pPr>
    <w:r>
      <w:rPr>
        <w:noProof/>
      </w:rPr>
      <w:pict w14:anchorId="0AC6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B075D"/>
    <w:rsid w:val="000E3756"/>
    <w:rsid w:val="00110305"/>
    <w:rsid w:val="001569BF"/>
    <w:rsid w:val="00173ABF"/>
    <w:rsid w:val="001C3A22"/>
    <w:rsid w:val="001E1B3B"/>
    <w:rsid w:val="001E5D94"/>
    <w:rsid w:val="001F0DF7"/>
    <w:rsid w:val="002556F3"/>
    <w:rsid w:val="00274C15"/>
    <w:rsid w:val="002B335A"/>
    <w:rsid w:val="002C34BD"/>
    <w:rsid w:val="002D6B7A"/>
    <w:rsid w:val="00370C91"/>
    <w:rsid w:val="003839EA"/>
    <w:rsid w:val="003B7E68"/>
    <w:rsid w:val="003D3F6C"/>
    <w:rsid w:val="00425B09"/>
    <w:rsid w:val="00472753"/>
    <w:rsid w:val="00493881"/>
    <w:rsid w:val="004B37E3"/>
    <w:rsid w:val="0051383E"/>
    <w:rsid w:val="00515C75"/>
    <w:rsid w:val="005164C2"/>
    <w:rsid w:val="005277F3"/>
    <w:rsid w:val="00530599"/>
    <w:rsid w:val="00531183"/>
    <w:rsid w:val="00554C35"/>
    <w:rsid w:val="00556C24"/>
    <w:rsid w:val="005B7682"/>
    <w:rsid w:val="005C4B58"/>
    <w:rsid w:val="005F0FE3"/>
    <w:rsid w:val="00610FAE"/>
    <w:rsid w:val="00612444"/>
    <w:rsid w:val="006273A4"/>
    <w:rsid w:val="00662FE8"/>
    <w:rsid w:val="006705BE"/>
    <w:rsid w:val="006D619E"/>
    <w:rsid w:val="007201F1"/>
    <w:rsid w:val="00722384"/>
    <w:rsid w:val="00763D4D"/>
    <w:rsid w:val="00772373"/>
    <w:rsid w:val="00777C94"/>
    <w:rsid w:val="007B4D5B"/>
    <w:rsid w:val="007D72B9"/>
    <w:rsid w:val="00817B1A"/>
    <w:rsid w:val="0082109B"/>
    <w:rsid w:val="00872865"/>
    <w:rsid w:val="008868EF"/>
    <w:rsid w:val="00894916"/>
    <w:rsid w:val="008E2EBD"/>
    <w:rsid w:val="00910C04"/>
    <w:rsid w:val="00950E57"/>
    <w:rsid w:val="00961854"/>
    <w:rsid w:val="00995177"/>
    <w:rsid w:val="009A081C"/>
    <w:rsid w:val="009C70E0"/>
    <w:rsid w:val="009E1D4F"/>
    <w:rsid w:val="009E2B2B"/>
    <w:rsid w:val="00A21B5D"/>
    <w:rsid w:val="00A31F43"/>
    <w:rsid w:val="00A31FA7"/>
    <w:rsid w:val="00A60F82"/>
    <w:rsid w:val="00A845F1"/>
    <w:rsid w:val="00AB15DC"/>
    <w:rsid w:val="00AB4BD2"/>
    <w:rsid w:val="00AB7518"/>
    <w:rsid w:val="00AE37DC"/>
    <w:rsid w:val="00B04E7D"/>
    <w:rsid w:val="00B728A9"/>
    <w:rsid w:val="00BB4A8F"/>
    <w:rsid w:val="00BD4FC9"/>
    <w:rsid w:val="00BD66D5"/>
    <w:rsid w:val="00C124E9"/>
    <w:rsid w:val="00C21692"/>
    <w:rsid w:val="00C45D6C"/>
    <w:rsid w:val="00C66601"/>
    <w:rsid w:val="00CD44B2"/>
    <w:rsid w:val="00CE6D15"/>
    <w:rsid w:val="00D21F87"/>
    <w:rsid w:val="00DF7790"/>
    <w:rsid w:val="00E22793"/>
    <w:rsid w:val="00E277D5"/>
    <w:rsid w:val="00E867A6"/>
    <w:rsid w:val="00E9223A"/>
    <w:rsid w:val="00EA104A"/>
    <w:rsid w:val="00EE334E"/>
    <w:rsid w:val="00F055D6"/>
    <w:rsid w:val="00F05735"/>
    <w:rsid w:val="00F33045"/>
    <w:rsid w:val="00F36018"/>
    <w:rsid w:val="00F97554"/>
    <w:rsid w:val="00FD09AD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B9789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868EF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652C-457A-4614-9BBF-21F6A328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Lorena Figueiredo Santos</cp:lastModifiedBy>
  <cp:revision>2</cp:revision>
  <cp:lastPrinted>2024-07-09T11:18:00Z</cp:lastPrinted>
  <dcterms:created xsi:type="dcterms:W3CDTF">2025-04-03T16:48:00Z</dcterms:created>
  <dcterms:modified xsi:type="dcterms:W3CDTF">2025-04-03T16:48:00Z</dcterms:modified>
</cp:coreProperties>
</file>