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6E0921A5"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6D0538">
        <w:rPr>
          <w:rFonts w:ascii="Arial Narrow" w:hAnsi="Arial Narrow"/>
        </w:rPr>
        <w:t>1</w:t>
      </w:r>
      <w:r w:rsidR="001E6166">
        <w:rPr>
          <w:rFonts w:ascii="Arial Narrow" w:hAnsi="Arial Narrow"/>
        </w:rPr>
        <w:t>2</w:t>
      </w:r>
      <w:r>
        <w:rPr>
          <w:rFonts w:ascii="Arial Narrow" w:hAnsi="Arial Narrow"/>
        </w:rPr>
        <w:t xml:space="preserve"> de </w:t>
      </w:r>
      <w:r w:rsidR="006D0538">
        <w:rPr>
          <w:rFonts w:ascii="Arial Narrow" w:hAnsi="Arial Narrow"/>
        </w:rPr>
        <w:t>março</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F3905B" w14:textId="7E8BF63D"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 xml:space="preserve">APL </w:t>
      </w:r>
      <w:r w:rsidR="00B2634E">
        <w:rPr>
          <w:rFonts w:ascii="Arial Narrow" w:hAnsi="Arial Narrow"/>
          <w:b/>
          <w:bCs/>
        </w:rPr>
        <w:t>1</w:t>
      </w:r>
      <w:r w:rsidR="001E6166">
        <w:rPr>
          <w:rFonts w:ascii="Arial Narrow" w:hAnsi="Arial Narrow"/>
          <w:b/>
          <w:bCs/>
        </w:rPr>
        <w:t>5</w:t>
      </w:r>
      <w:r w:rsidR="00FB7320">
        <w:rPr>
          <w:rFonts w:ascii="Arial Narrow" w:hAnsi="Arial Narrow"/>
          <w:b/>
          <w:bCs/>
        </w:rPr>
        <w:t>7</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32ED3DC9"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6D0538">
        <w:rPr>
          <w:rFonts w:ascii="Arial Narrow" w:hAnsi="Arial Narrow"/>
        </w:rPr>
        <w:t>1</w:t>
      </w:r>
      <w:r w:rsidR="00FB7320">
        <w:rPr>
          <w:rFonts w:ascii="Arial Narrow" w:hAnsi="Arial Narrow"/>
        </w:rPr>
        <w:t>90</w:t>
      </w:r>
      <w:r w:rsidR="008C70F2" w:rsidRPr="007061A4">
        <w:rPr>
          <w:rFonts w:ascii="Arial Narrow" w:hAnsi="Arial Narrow"/>
        </w:rPr>
        <w:t>/202</w:t>
      </w:r>
      <w:r w:rsidR="00F2395D">
        <w:rPr>
          <w:rFonts w:ascii="Arial Narrow" w:hAnsi="Arial Narrow"/>
        </w:rPr>
        <w:t>5</w:t>
      </w:r>
    </w:p>
    <w:p w14:paraId="149FAC91" w14:textId="4834E20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CC2D5E">
        <w:rPr>
          <w:rFonts w:ascii="Arial Narrow" w:hAnsi="Arial Narrow"/>
        </w:rPr>
        <w:t>Rodrigo Braga da Rocha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E6166"/>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706A8"/>
    <w:rsid w:val="004765C5"/>
    <w:rsid w:val="004805AD"/>
    <w:rsid w:val="00481FA3"/>
    <w:rsid w:val="004A3730"/>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B7320"/>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3044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2025-03-10T14:58:00Z</cp:lastPrinted>
  <dcterms:created xsi:type="dcterms:W3CDTF">2025-03-12T16:16:00Z</dcterms:created>
  <dcterms:modified xsi:type="dcterms:W3CDTF">2025-03-12T16:16:00Z</dcterms:modified>
</cp:coreProperties>
</file>