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7277" w14:textId="2149EBBA" w:rsidR="00706D06" w:rsidRPr="00AF6E4B" w:rsidRDefault="00AF6E4B" w:rsidP="00AF6E4B">
      <w:pPr>
        <w:tabs>
          <w:tab w:val="left" w:pos="3808"/>
          <w:tab w:val="right" w:pos="8504"/>
        </w:tabs>
        <w:ind w:firstLine="20"/>
        <w:jc w:val="both"/>
        <w:rPr>
          <w:rFonts w:ascii="Verdana" w:hAnsi="Verdana"/>
          <w:sz w:val="24"/>
          <w:szCs w:val="24"/>
        </w:rPr>
      </w:pPr>
      <w:r w:rsidRPr="00AF6E4B">
        <w:rPr>
          <w:rFonts w:ascii="Verdana" w:hAnsi="Verdana"/>
          <w:sz w:val="24"/>
          <w:szCs w:val="24"/>
        </w:rPr>
        <w:t xml:space="preserve">                                                    </w:t>
      </w:r>
      <w:r w:rsidR="00706D06" w:rsidRPr="00AF6E4B">
        <w:rPr>
          <w:rFonts w:ascii="Verdana" w:hAnsi="Verdana"/>
          <w:sz w:val="24"/>
          <w:szCs w:val="24"/>
        </w:rPr>
        <w:t>Sete Lagoas, 26 de maio de 2025.</w:t>
      </w:r>
    </w:p>
    <w:p w14:paraId="5348F494" w14:textId="77777777" w:rsidR="00706D06" w:rsidRPr="00AF6E4B" w:rsidRDefault="00706D06" w:rsidP="00AF6E4B">
      <w:pPr>
        <w:tabs>
          <w:tab w:val="left" w:pos="3808"/>
          <w:tab w:val="right" w:pos="8504"/>
        </w:tabs>
        <w:ind w:firstLine="20"/>
        <w:jc w:val="both"/>
        <w:rPr>
          <w:rFonts w:ascii="Verdana" w:hAnsi="Verdana"/>
          <w:sz w:val="24"/>
          <w:szCs w:val="24"/>
        </w:rPr>
      </w:pPr>
    </w:p>
    <w:p w14:paraId="78361540" w14:textId="3D804015" w:rsidR="00706D06" w:rsidRPr="00AF6E4B" w:rsidRDefault="00706D06" w:rsidP="00AF6E4B">
      <w:pPr>
        <w:tabs>
          <w:tab w:val="left" w:pos="3808"/>
          <w:tab w:val="right" w:pos="8504"/>
        </w:tabs>
        <w:ind w:firstLine="20"/>
        <w:jc w:val="both"/>
        <w:rPr>
          <w:rFonts w:ascii="Verdana" w:hAnsi="Verdana"/>
          <w:b/>
          <w:bCs/>
          <w:sz w:val="24"/>
          <w:szCs w:val="24"/>
        </w:rPr>
      </w:pPr>
      <w:r w:rsidRPr="00AF6E4B">
        <w:rPr>
          <w:rFonts w:ascii="Verdana" w:hAnsi="Verdana"/>
          <w:b/>
          <w:bCs/>
          <w:sz w:val="24"/>
          <w:szCs w:val="24"/>
        </w:rPr>
        <w:t>PARECER PGL-FR 12/25.</w:t>
      </w:r>
    </w:p>
    <w:p w14:paraId="0826FB1B" w14:textId="282DFA5B" w:rsidR="00706D06" w:rsidRPr="00AF6E4B" w:rsidRDefault="00706D06" w:rsidP="00AF6E4B">
      <w:pPr>
        <w:tabs>
          <w:tab w:val="left" w:pos="3808"/>
          <w:tab w:val="right" w:pos="8504"/>
        </w:tabs>
        <w:ind w:firstLine="20"/>
        <w:jc w:val="both"/>
        <w:rPr>
          <w:rFonts w:ascii="Verdana" w:hAnsi="Verdana"/>
          <w:sz w:val="24"/>
          <w:szCs w:val="24"/>
        </w:rPr>
      </w:pPr>
      <w:r w:rsidRPr="00AF6E4B">
        <w:rPr>
          <w:rFonts w:ascii="Verdana" w:hAnsi="Verdana"/>
          <w:sz w:val="24"/>
          <w:szCs w:val="24"/>
        </w:rPr>
        <w:t>M</w:t>
      </w:r>
      <w:r w:rsidR="00AF6E4B" w:rsidRPr="00AF6E4B">
        <w:rPr>
          <w:rFonts w:ascii="Verdana" w:hAnsi="Verdana"/>
          <w:sz w:val="24"/>
          <w:szCs w:val="24"/>
        </w:rPr>
        <w:t>AT</w:t>
      </w:r>
      <w:r w:rsidR="00AF6E4B">
        <w:rPr>
          <w:rFonts w:ascii="Verdana" w:hAnsi="Verdana"/>
          <w:sz w:val="24"/>
          <w:szCs w:val="24"/>
        </w:rPr>
        <w:t>É</w:t>
      </w:r>
      <w:r w:rsidR="00AF6E4B" w:rsidRPr="00AF6E4B">
        <w:rPr>
          <w:rFonts w:ascii="Verdana" w:hAnsi="Verdana"/>
          <w:sz w:val="24"/>
          <w:szCs w:val="24"/>
        </w:rPr>
        <w:t>RIAS</w:t>
      </w:r>
      <w:r w:rsidRPr="00AF6E4B">
        <w:rPr>
          <w:rFonts w:ascii="Verdana" w:hAnsi="Verdana"/>
          <w:sz w:val="24"/>
          <w:szCs w:val="24"/>
        </w:rPr>
        <w:t>:</w:t>
      </w:r>
      <w:r w:rsidR="00AF6E4B" w:rsidRPr="00AF6E4B">
        <w:rPr>
          <w:rFonts w:ascii="Verdana" w:hAnsi="Verdana"/>
          <w:sz w:val="24"/>
          <w:szCs w:val="24"/>
        </w:rPr>
        <w:t xml:space="preserve"> 1-</w:t>
      </w:r>
      <w:r w:rsidRPr="00AF6E4B">
        <w:rPr>
          <w:rFonts w:ascii="Verdana" w:hAnsi="Verdana"/>
          <w:sz w:val="24"/>
          <w:szCs w:val="24"/>
        </w:rPr>
        <w:t>Substitutivo nº 001/2025 ao Projeto de Lei nº 453/2024 que “Altera a Lei nº 9.739, de 29 de dezembro de 2023, para conceder transparência aos repasses financeiros obrigatórios dos benefícios nacionais aos agentes comunitários de saúde e agentes de combate à endemia”.</w:t>
      </w:r>
    </w:p>
    <w:p w14:paraId="5A7BF9AC" w14:textId="77777777" w:rsidR="00706D06" w:rsidRPr="00AF6E4B" w:rsidRDefault="00706D06" w:rsidP="00AF6E4B">
      <w:pPr>
        <w:tabs>
          <w:tab w:val="left" w:pos="3808"/>
          <w:tab w:val="right" w:pos="8504"/>
        </w:tabs>
        <w:ind w:firstLine="20"/>
        <w:jc w:val="both"/>
        <w:rPr>
          <w:rFonts w:ascii="Verdana" w:hAnsi="Verdana"/>
          <w:sz w:val="24"/>
          <w:szCs w:val="24"/>
        </w:rPr>
      </w:pPr>
      <w:r w:rsidRPr="00AF6E4B">
        <w:rPr>
          <w:rFonts w:ascii="Verdana" w:hAnsi="Verdana"/>
          <w:sz w:val="24"/>
          <w:szCs w:val="24"/>
        </w:rPr>
        <w:t xml:space="preserve">Autoria: Vereador Caio </w:t>
      </w:r>
      <w:proofErr w:type="spellStart"/>
      <w:r w:rsidRPr="00AF6E4B">
        <w:rPr>
          <w:rFonts w:ascii="Verdana" w:hAnsi="Verdana"/>
          <w:sz w:val="24"/>
          <w:szCs w:val="24"/>
        </w:rPr>
        <w:t>Lúcius</w:t>
      </w:r>
      <w:proofErr w:type="spellEnd"/>
      <w:r w:rsidRPr="00AF6E4B">
        <w:rPr>
          <w:rFonts w:ascii="Verdana" w:hAnsi="Verdana"/>
          <w:sz w:val="24"/>
          <w:szCs w:val="24"/>
        </w:rPr>
        <w:t xml:space="preserve"> </w:t>
      </w:r>
      <w:proofErr w:type="spellStart"/>
      <w:r w:rsidRPr="00AF6E4B">
        <w:rPr>
          <w:rFonts w:ascii="Verdana" w:hAnsi="Verdana"/>
          <w:sz w:val="24"/>
          <w:szCs w:val="24"/>
        </w:rPr>
        <w:t>Valace</w:t>
      </w:r>
      <w:proofErr w:type="spellEnd"/>
      <w:r w:rsidRPr="00AF6E4B">
        <w:rPr>
          <w:rFonts w:ascii="Verdana" w:hAnsi="Verdana"/>
          <w:sz w:val="24"/>
          <w:szCs w:val="24"/>
        </w:rPr>
        <w:t xml:space="preserve"> de Oliveira Silva.</w:t>
      </w:r>
    </w:p>
    <w:p w14:paraId="61262488" w14:textId="618892F6" w:rsidR="00706D06"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 xml:space="preserve">                  2-</w:t>
      </w:r>
      <w:r w:rsidR="00706D06" w:rsidRPr="00AF6E4B">
        <w:rPr>
          <w:rFonts w:ascii="Verdana" w:hAnsi="Verdana"/>
          <w:sz w:val="24"/>
          <w:szCs w:val="24"/>
        </w:rPr>
        <w:t xml:space="preserve">Emenda Aditiva nº 01/2025 – que </w:t>
      </w:r>
      <w:r>
        <w:rPr>
          <w:rFonts w:ascii="Verdana" w:hAnsi="Verdana"/>
          <w:sz w:val="24"/>
          <w:szCs w:val="24"/>
        </w:rPr>
        <w:t>a</w:t>
      </w:r>
      <w:r w:rsidR="00706D06" w:rsidRPr="00AF6E4B">
        <w:rPr>
          <w:rFonts w:ascii="Verdana" w:hAnsi="Verdana"/>
          <w:sz w:val="24"/>
          <w:szCs w:val="24"/>
        </w:rPr>
        <w:t>crescenta o § 2º ao art. 2º do Substitutivo nº 001/2025 ao Projeto de Lei nº 453/2024 que “Altera a Lei nº 9.739, de 29 de dezembro de 2023, para conceder transparência aos repasses financeiros obrigatórios dos benefícios nacionais aos agentes comunitários de saúde e agentes de combate à endemia”.</w:t>
      </w:r>
    </w:p>
    <w:p w14:paraId="0F546893" w14:textId="4F7AC7CD" w:rsidR="00706D06" w:rsidRDefault="00706D06" w:rsidP="00AF6E4B">
      <w:pPr>
        <w:tabs>
          <w:tab w:val="left" w:pos="3808"/>
          <w:tab w:val="right" w:pos="8504"/>
        </w:tabs>
        <w:ind w:firstLine="20"/>
        <w:jc w:val="both"/>
        <w:rPr>
          <w:rFonts w:ascii="Verdana" w:hAnsi="Verdana"/>
          <w:sz w:val="24"/>
          <w:szCs w:val="24"/>
        </w:rPr>
      </w:pPr>
      <w:r w:rsidRPr="00AF6E4B">
        <w:rPr>
          <w:rFonts w:ascii="Verdana" w:hAnsi="Verdana"/>
          <w:sz w:val="24"/>
          <w:szCs w:val="24"/>
        </w:rPr>
        <w:t>Autoria: Vereadora Sílvia Regina de Oliveira.</w:t>
      </w:r>
    </w:p>
    <w:p w14:paraId="344FD48C" w14:textId="4009F9CE" w:rsidR="00AF6E4B"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_______________________________________________________</w:t>
      </w:r>
    </w:p>
    <w:p w14:paraId="11811763" w14:textId="218E0B38" w:rsidR="00706D06"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Encontra-se nesta Procuradoria, para análise e parecer, as proposições</w:t>
      </w:r>
      <w:r>
        <w:rPr>
          <w:rFonts w:ascii="Verdana" w:hAnsi="Verdana"/>
          <w:sz w:val="24"/>
          <w:szCs w:val="24"/>
        </w:rPr>
        <w:t xml:space="preserve"> acima</w:t>
      </w:r>
      <w:r w:rsidR="00706D06" w:rsidRPr="00AF6E4B">
        <w:rPr>
          <w:rFonts w:ascii="Verdana" w:hAnsi="Verdana"/>
          <w:sz w:val="24"/>
          <w:szCs w:val="24"/>
        </w:rPr>
        <w:t xml:space="preserve"> mencionadas, </w:t>
      </w:r>
      <w:r w:rsidR="00754072">
        <w:rPr>
          <w:rFonts w:ascii="Verdana" w:hAnsi="Verdana"/>
          <w:sz w:val="24"/>
          <w:szCs w:val="24"/>
        </w:rPr>
        <w:t>cujas</w:t>
      </w:r>
      <w:r w:rsidR="00706D06" w:rsidRPr="00AF6E4B">
        <w:rPr>
          <w:rFonts w:ascii="Verdana" w:hAnsi="Verdana"/>
          <w:sz w:val="24"/>
          <w:szCs w:val="24"/>
        </w:rPr>
        <w:t xml:space="preserve"> iniciativa</w:t>
      </w:r>
      <w:r w:rsidR="00754072">
        <w:rPr>
          <w:rFonts w:ascii="Verdana" w:hAnsi="Verdana"/>
          <w:sz w:val="24"/>
          <w:szCs w:val="24"/>
        </w:rPr>
        <w:t xml:space="preserve">s pertencem </w:t>
      </w:r>
      <w:proofErr w:type="gramStart"/>
      <w:r w:rsidR="00754072">
        <w:rPr>
          <w:rFonts w:ascii="Verdana" w:hAnsi="Verdana"/>
          <w:sz w:val="24"/>
          <w:szCs w:val="24"/>
        </w:rPr>
        <w:t>a</w:t>
      </w:r>
      <w:r w:rsidR="00706D06" w:rsidRPr="00AF6E4B">
        <w:rPr>
          <w:rFonts w:ascii="Verdana" w:hAnsi="Verdana"/>
          <w:sz w:val="24"/>
          <w:szCs w:val="24"/>
        </w:rPr>
        <w:t xml:space="preserve">  membros</w:t>
      </w:r>
      <w:proofErr w:type="gramEnd"/>
      <w:r w:rsidR="00706D06" w:rsidRPr="00AF6E4B">
        <w:rPr>
          <w:rFonts w:ascii="Verdana" w:hAnsi="Verdana"/>
          <w:sz w:val="24"/>
          <w:szCs w:val="24"/>
        </w:rPr>
        <w:t xml:space="preserve"> deste Colegiado, devidamente acompanhadas de justificativas.</w:t>
      </w:r>
    </w:p>
    <w:p w14:paraId="3FC7B4DA" w14:textId="6F5AFD5A" w:rsidR="00706D06"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 xml:space="preserve">O Substitutivo nº 01 altera a Lei nº 9.739/23 (regime jurídico dos agentes comunitários de saúde - ACS - e agentes comunitários de endemias - ACE, para prever a obrigatoriedade de se estabelecer instrumentos de transparência da gestão fiscal, a fim de possibilitar melhor acompanhamento da aplicação dos recursos públicos utilizados na remuneração desses servidores municipais. Estabelece também a forma de pagamento do Incentivo Financeiro Adicional (IFA) aos ACS e ACE, </w:t>
      </w:r>
      <w:r w:rsidR="00754072">
        <w:rPr>
          <w:rFonts w:ascii="Verdana" w:hAnsi="Verdana"/>
          <w:sz w:val="24"/>
          <w:szCs w:val="24"/>
        </w:rPr>
        <w:t>previsto n</w:t>
      </w:r>
      <w:r w:rsidR="00706D06" w:rsidRPr="00AF6E4B">
        <w:rPr>
          <w:rFonts w:ascii="Verdana" w:hAnsi="Verdana"/>
          <w:sz w:val="24"/>
          <w:szCs w:val="24"/>
        </w:rPr>
        <w:t>a Lei Federal nº 11.350/2006 e legislação regulamentadora.</w:t>
      </w:r>
    </w:p>
    <w:p w14:paraId="6B71ECB4" w14:textId="5302D3DD" w:rsidR="00706D06"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A Emenda Aditiva determina a data (janeiro de cada ano) para o pagamento do Incentivo Financeiro Adicional (IFA), previsto na lei nacional e legislação regulamentadora, estabelecendo que o pagamento do benefício se fará de forma integral e por meio de rateio entre os ACS e ACE.</w:t>
      </w:r>
    </w:p>
    <w:p w14:paraId="0C92A99C" w14:textId="77777777" w:rsidR="00706D06" w:rsidRPr="00AF6E4B" w:rsidRDefault="00706D06" w:rsidP="00AF6E4B">
      <w:pPr>
        <w:tabs>
          <w:tab w:val="left" w:pos="3808"/>
          <w:tab w:val="right" w:pos="8504"/>
        </w:tabs>
        <w:ind w:firstLine="20"/>
        <w:jc w:val="both"/>
        <w:rPr>
          <w:rFonts w:ascii="Verdana" w:hAnsi="Verdana"/>
          <w:sz w:val="24"/>
          <w:szCs w:val="24"/>
        </w:rPr>
      </w:pPr>
    </w:p>
    <w:p w14:paraId="0D7F0A96" w14:textId="70E5F2AD" w:rsidR="00706D06" w:rsidRPr="00AF6E4B" w:rsidRDefault="00AF6E4B" w:rsidP="00AF6E4B">
      <w:pPr>
        <w:tabs>
          <w:tab w:val="left" w:pos="3808"/>
          <w:tab w:val="right" w:pos="8504"/>
        </w:tabs>
        <w:ind w:firstLine="20"/>
        <w:jc w:val="both"/>
        <w:rPr>
          <w:rFonts w:ascii="Verdana" w:hAnsi="Verdana"/>
          <w:sz w:val="24"/>
          <w:szCs w:val="24"/>
        </w:rPr>
      </w:pPr>
      <w:r>
        <w:rPr>
          <w:rFonts w:ascii="Verdana" w:hAnsi="Verdana"/>
          <w:sz w:val="24"/>
          <w:szCs w:val="24"/>
        </w:rPr>
        <w:t xml:space="preserve">                         Inicialmente tem-se </w:t>
      </w:r>
      <w:proofErr w:type="gramStart"/>
      <w:r>
        <w:rPr>
          <w:rFonts w:ascii="Verdana" w:hAnsi="Verdana"/>
          <w:sz w:val="24"/>
          <w:szCs w:val="24"/>
        </w:rPr>
        <w:t>que</w:t>
      </w:r>
      <w:r w:rsidR="00706D06" w:rsidRPr="00AF6E4B">
        <w:rPr>
          <w:rFonts w:ascii="Verdana" w:hAnsi="Verdana"/>
          <w:sz w:val="24"/>
          <w:szCs w:val="24"/>
        </w:rPr>
        <w:t>, a</w:t>
      </w:r>
      <w:proofErr w:type="gramEnd"/>
      <w:r w:rsidR="00706D06" w:rsidRPr="00AF6E4B">
        <w:rPr>
          <w:rFonts w:ascii="Verdana" w:hAnsi="Verdana"/>
          <w:sz w:val="24"/>
          <w:szCs w:val="24"/>
        </w:rPr>
        <w:t xml:space="preserve"> redação conferida pela Emenda Constitucional nº 51/06 indica que os agentes comunitários de saúde e os agentes de combate a endemias possuem vínculo peculiar com a Administração Pública. Seu ingresso ocorre por meio de processo seletivo, e não por concurso público de provas ou de provas e títulos. Seu regime jurídico </w:t>
      </w:r>
      <w:r w:rsidR="00754072">
        <w:rPr>
          <w:rFonts w:ascii="Verdana" w:hAnsi="Verdana"/>
          <w:sz w:val="24"/>
          <w:szCs w:val="24"/>
        </w:rPr>
        <w:t>decorre</w:t>
      </w:r>
      <w:r w:rsidR="00706D06" w:rsidRPr="00AF6E4B">
        <w:rPr>
          <w:rFonts w:ascii="Verdana" w:hAnsi="Verdana"/>
          <w:sz w:val="24"/>
          <w:szCs w:val="24"/>
        </w:rPr>
        <w:t xml:space="preserve"> de normas gerais editadas pela União mediante lei nacional (Lei nº 11.350/2006), difer</w:t>
      </w:r>
      <w:r w:rsidR="00754072">
        <w:rPr>
          <w:rFonts w:ascii="Verdana" w:hAnsi="Verdana"/>
          <w:sz w:val="24"/>
          <w:szCs w:val="24"/>
        </w:rPr>
        <w:t>entemente</w:t>
      </w:r>
      <w:r w:rsidR="00706D06" w:rsidRPr="00AF6E4B">
        <w:rPr>
          <w:rFonts w:ascii="Verdana" w:hAnsi="Verdana"/>
          <w:sz w:val="24"/>
          <w:szCs w:val="24"/>
        </w:rPr>
        <w:t xml:space="preserve"> dos servidores efetivos que se submetem a regime jurídico estabelecido privativamente pelo ente federativo</w:t>
      </w:r>
      <w:r w:rsidR="00963A7F">
        <w:rPr>
          <w:rFonts w:ascii="Verdana" w:hAnsi="Verdana"/>
          <w:sz w:val="24"/>
          <w:szCs w:val="24"/>
        </w:rPr>
        <w:t xml:space="preserve"> ao qual se vinculam</w:t>
      </w:r>
      <w:r w:rsidR="00706D06" w:rsidRPr="00AF6E4B">
        <w:rPr>
          <w:rFonts w:ascii="Verdana" w:hAnsi="Verdana"/>
          <w:sz w:val="24"/>
          <w:szCs w:val="24"/>
        </w:rPr>
        <w:t xml:space="preserve"> (art. 39, caput, da Constituição Federal, com redação revigorada pela ADI nº 2135).</w:t>
      </w:r>
    </w:p>
    <w:p w14:paraId="08F62CB3" w14:textId="6391C6E1" w:rsidR="00706D06" w:rsidRPr="00AF6E4B" w:rsidRDefault="00963A7F"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A remuneração e o regime jurídico dos agentes comunitários de saúde e de combate às endemias têm base no § 5º do art. 198 da Constituição Federal, que dispõe sobre a necessidade de regulamentação própria para esses profissionais e cria direito ao piso salarial nacional, bem como seu plano de carreira.</w:t>
      </w:r>
    </w:p>
    <w:p w14:paraId="73B10EAF" w14:textId="390E3A2A" w:rsidR="00706D06" w:rsidRPr="00AF6E4B" w:rsidRDefault="00963A7F"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A Emenda Constitucional nº 120/22 estabelece um piso salarial nacional de dois salários mínimos para a categoria, custeado pela União. Também prevê adicional de insalubridade e aposentadoria especial, devido aos riscos inerentes às funções desempenhadas, com</w:t>
      </w:r>
      <w:r>
        <w:rPr>
          <w:rFonts w:ascii="Verdana" w:hAnsi="Verdana"/>
          <w:sz w:val="24"/>
          <w:szCs w:val="24"/>
        </w:rPr>
        <w:t xml:space="preserve"> custeio sob a</w:t>
      </w:r>
      <w:r w:rsidR="00706D06" w:rsidRPr="00AF6E4B">
        <w:rPr>
          <w:rFonts w:ascii="Verdana" w:hAnsi="Verdana"/>
          <w:sz w:val="24"/>
          <w:szCs w:val="24"/>
        </w:rPr>
        <w:t xml:space="preserve"> responsabilidade dos entes federativos. Determina ainda que Estados, Distrito Federal e Municípios estabeleçam outras vantagens, incentivos, auxílios, gratificações e indenizações para valorizar o trabalho desses profissionais, e que esses valores não serão computados nos limites de gasto com pessoal.</w:t>
      </w:r>
    </w:p>
    <w:p w14:paraId="6A8D5611" w14:textId="6F2ED57E" w:rsidR="00706D06" w:rsidRPr="00AF6E4B" w:rsidRDefault="00963A7F"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 xml:space="preserve">Assim, os agentes comunitários de saúde devem ser contratados segundo lei local que discipline seu regime jurídico, tomando por base a Lei Federal nº 11.350/2006 e normas regulamentadoras pertinentes (decretos, portarias do MS, </w:t>
      </w:r>
      <w:proofErr w:type="spellStart"/>
      <w:r w:rsidR="00706D06" w:rsidRPr="00AF6E4B">
        <w:rPr>
          <w:rFonts w:ascii="Verdana" w:hAnsi="Verdana"/>
          <w:sz w:val="24"/>
          <w:szCs w:val="24"/>
        </w:rPr>
        <w:t>etc</w:t>
      </w:r>
      <w:proofErr w:type="spellEnd"/>
      <w:r w:rsidR="00706D06" w:rsidRPr="00AF6E4B">
        <w:rPr>
          <w:rFonts w:ascii="Verdana" w:hAnsi="Verdana"/>
          <w:sz w:val="24"/>
          <w:szCs w:val="24"/>
        </w:rPr>
        <w:t>). A iniciativa de tal lei é privativa do Prefeito Municipal, conforme art. 61, § 1º, II, “c” da Constituição Federal, combinado com o art. 76, II da Lei Orgânica do Município de Sete Lagoas.</w:t>
      </w:r>
    </w:p>
    <w:p w14:paraId="6A44B9CE" w14:textId="334A05FB" w:rsidR="00706D06" w:rsidRPr="00AF6E4B" w:rsidRDefault="00963A7F"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 xml:space="preserve">Em nosso Município, a Lei nº 9.739/2023 regulamenta as atividades de Agente Comunitário de Saúde e de Agente de Combate às Endemias, </w:t>
      </w:r>
      <w:r>
        <w:rPr>
          <w:rFonts w:ascii="Verdana" w:hAnsi="Verdana"/>
          <w:sz w:val="24"/>
          <w:szCs w:val="24"/>
        </w:rPr>
        <w:t xml:space="preserve">lei essa que </w:t>
      </w:r>
      <w:r w:rsidR="00706D06" w:rsidRPr="00AF6E4B">
        <w:rPr>
          <w:rFonts w:ascii="Verdana" w:hAnsi="Verdana"/>
          <w:sz w:val="24"/>
          <w:szCs w:val="24"/>
        </w:rPr>
        <w:t>estabelec</w:t>
      </w:r>
      <w:r>
        <w:rPr>
          <w:rFonts w:ascii="Verdana" w:hAnsi="Verdana"/>
          <w:sz w:val="24"/>
          <w:szCs w:val="24"/>
        </w:rPr>
        <w:t>e</w:t>
      </w:r>
      <w:r w:rsidR="00706D06" w:rsidRPr="00AF6E4B">
        <w:rPr>
          <w:rFonts w:ascii="Verdana" w:hAnsi="Verdana"/>
          <w:sz w:val="24"/>
          <w:szCs w:val="24"/>
        </w:rPr>
        <w:t xml:space="preserve"> no</w:t>
      </w:r>
      <w:r>
        <w:rPr>
          <w:rFonts w:ascii="Verdana" w:hAnsi="Verdana"/>
          <w:sz w:val="24"/>
          <w:szCs w:val="24"/>
        </w:rPr>
        <w:t xml:space="preserve"> seu</w:t>
      </w:r>
      <w:r w:rsidR="00706D06" w:rsidRPr="00AF6E4B">
        <w:rPr>
          <w:rFonts w:ascii="Verdana" w:hAnsi="Verdana"/>
          <w:sz w:val="24"/>
          <w:szCs w:val="24"/>
        </w:rPr>
        <w:t xml:space="preserve"> art. 4º que tais profissionais se submetem ao regime jurídico administrativo </w:t>
      </w:r>
      <w:r>
        <w:rPr>
          <w:rFonts w:ascii="Verdana" w:hAnsi="Verdana"/>
          <w:sz w:val="24"/>
          <w:szCs w:val="24"/>
        </w:rPr>
        <w:t>tratado nessa</w:t>
      </w:r>
      <w:r w:rsidR="00706D06" w:rsidRPr="00AF6E4B">
        <w:rPr>
          <w:rFonts w:ascii="Verdana" w:hAnsi="Verdana"/>
          <w:sz w:val="24"/>
          <w:szCs w:val="24"/>
        </w:rPr>
        <w:t xml:space="preserve"> lei.</w:t>
      </w:r>
    </w:p>
    <w:p w14:paraId="5135BFBF" w14:textId="1A7E54AC" w:rsidR="00706D06" w:rsidRPr="00AF6E4B" w:rsidRDefault="00963A7F" w:rsidP="00AF6E4B">
      <w:pPr>
        <w:tabs>
          <w:tab w:val="left" w:pos="3808"/>
          <w:tab w:val="right" w:pos="8504"/>
        </w:tabs>
        <w:ind w:firstLine="20"/>
        <w:jc w:val="both"/>
        <w:rPr>
          <w:rFonts w:ascii="Verdana" w:hAnsi="Verdana"/>
          <w:sz w:val="24"/>
          <w:szCs w:val="24"/>
        </w:rPr>
      </w:pPr>
      <w:r>
        <w:rPr>
          <w:rFonts w:ascii="Verdana" w:hAnsi="Verdana"/>
          <w:sz w:val="24"/>
          <w:szCs w:val="24"/>
        </w:rPr>
        <w:lastRenderedPageBreak/>
        <w:t xml:space="preserve">                             </w:t>
      </w:r>
      <w:r w:rsidR="00706D06" w:rsidRPr="00AF6E4B">
        <w:rPr>
          <w:rFonts w:ascii="Verdana" w:hAnsi="Verdana"/>
          <w:sz w:val="24"/>
          <w:szCs w:val="24"/>
        </w:rPr>
        <w:t>Na interpretação do STF, o regime jurídico dos servidores públicos é o “</w:t>
      </w:r>
      <w:r w:rsidR="00706D06" w:rsidRPr="00963A7F">
        <w:rPr>
          <w:rFonts w:ascii="Verdana" w:hAnsi="Verdana"/>
          <w:i/>
          <w:iCs/>
          <w:sz w:val="24"/>
          <w:szCs w:val="24"/>
        </w:rPr>
        <w:t>conjunto de normas que disciplinam os diversos aspectos das relações, estatutárias ou contratuais, mantidas pelo Estado com seus agentes. Nessa matéria, o processo de formação das leis está sujeito à exclusiva iniciativa do Chefe do Poder Executivo</w:t>
      </w:r>
      <w:r w:rsidR="00706D06" w:rsidRPr="00AF6E4B">
        <w:rPr>
          <w:rFonts w:ascii="Verdana" w:hAnsi="Verdana"/>
          <w:sz w:val="24"/>
          <w:szCs w:val="24"/>
        </w:rPr>
        <w:t>” (STF - ADI: 1197 RO, Relator.: CELSO DE MELLO, Data de Julgamento: 18/05/2017, Tribunal Pleno, Data de Publicação: 31/05/2017).</w:t>
      </w:r>
    </w:p>
    <w:p w14:paraId="11DF9F6E" w14:textId="57AB131F"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 xml:space="preserve">O substitutivo </w:t>
      </w:r>
      <w:r>
        <w:rPr>
          <w:rFonts w:ascii="Verdana" w:hAnsi="Verdana"/>
          <w:sz w:val="24"/>
          <w:szCs w:val="24"/>
        </w:rPr>
        <w:t>ora analisado</w:t>
      </w:r>
      <w:r w:rsidR="00706D06" w:rsidRPr="00AF6E4B">
        <w:rPr>
          <w:rFonts w:ascii="Verdana" w:hAnsi="Verdana"/>
          <w:sz w:val="24"/>
          <w:szCs w:val="24"/>
        </w:rPr>
        <w:t xml:space="preserve"> altera o regime jurídico dos ACS e ACE para inserir:</w:t>
      </w:r>
    </w:p>
    <w:p w14:paraId="0AC56E94" w14:textId="59096A99"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1-</w:t>
      </w:r>
      <w:r w:rsidR="00706D06" w:rsidRPr="00AF6E4B">
        <w:rPr>
          <w:rFonts w:ascii="Verdana" w:hAnsi="Verdana"/>
          <w:sz w:val="24"/>
          <w:szCs w:val="24"/>
        </w:rPr>
        <w:t>Obrigatoriedade do Município em conceder transparência na gestão fiscal dos benefícios e incentivos financeiros adicionais instituídos pela União, por meio de plano de aplicação, encaminhando trimestralmente à Comissão de Fiscalização Financeira e Orçamentária e de Tomada de Contas da Câmara Municipal, relatório detalhado dos recursos aplicados, conforme o art. 1º da proposta, que acresce § 2º ao art. 4º da Lei nº 9.739/23;</w:t>
      </w:r>
    </w:p>
    <w:p w14:paraId="701BB7C4" w14:textId="5C182138"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2-</w:t>
      </w:r>
      <w:r w:rsidR="00706D06" w:rsidRPr="00AF6E4B">
        <w:rPr>
          <w:rFonts w:ascii="Verdana" w:hAnsi="Verdana"/>
          <w:sz w:val="24"/>
          <w:szCs w:val="24"/>
        </w:rPr>
        <w:t>Forma de pagamento aos ACS e ACE do Incentivo Financeiro Adicional (IFA), mediante entrega direta aos profissionais de uma parte do benefício, como prêmio ou remuneração adicional, conforme o art. 2º do substitutivo, que acresce parágrafo único ao art. 35 da Lei nº 9.739/23.</w:t>
      </w:r>
    </w:p>
    <w:p w14:paraId="66841F8E" w14:textId="12D71C0F" w:rsidR="008B6DB2"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Quanto ao item 1</w:t>
      </w:r>
      <w:r w:rsidR="00754072">
        <w:rPr>
          <w:rFonts w:ascii="Verdana" w:hAnsi="Verdana"/>
          <w:sz w:val="24"/>
          <w:szCs w:val="24"/>
        </w:rPr>
        <w:t xml:space="preserve"> supra</w:t>
      </w:r>
      <w:r w:rsidR="00706D06" w:rsidRPr="00AF6E4B">
        <w:rPr>
          <w:rFonts w:ascii="Verdana" w:hAnsi="Verdana"/>
          <w:sz w:val="24"/>
          <w:szCs w:val="24"/>
        </w:rPr>
        <w:t>, mencion</w:t>
      </w:r>
      <w:r>
        <w:rPr>
          <w:rFonts w:ascii="Verdana" w:hAnsi="Verdana"/>
          <w:sz w:val="24"/>
          <w:szCs w:val="24"/>
        </w:rPr>
        <w:t>e</w:t>
      </w:r>
      <w:r w:rsidR="00706D06" w:rsidRPr="00AF6E4B">
        <w:rPr>
          <w:rFonts w:ascii="Verdana" w:hAnsi="Verdana"/>
          <w:sz w:val="24"/>
          <w:szCs w:val="24"/>
        </w:rPr>
        <w:t>-se a Lei de Responsabilidade Fiscal:</w:t>
      </w:r>
    </w:p>
    <w:p w14:paraId="47CF0115" w14:textId="0909DCB6" w:rsidR="00706D06" w:rsidRPr="008B6DB2" w:rsidRDefault="008B6DB2" w:rsidP="00AF6E4B">
      <w:pPr>
        <w:tabs>
          <w:tab w:val="left" w:pos="3808"/>
          <w:tab w:val="right" w:pos="8504"/>
        </w:tabs>
        <w:ind w:firstLine="20"/>
        <w:jc w:val="both"/>
        <w:rPr>
          <w:rFonts w:ascii="Verdana" w:hAnsi="Verdana"/>
          <w:i/>
          <w:iCs/>
          <w:sz w:val="24"/>
          <w:szCs w:val="24"/>
        </w:rPr>
      </w:pPr>
      <w:r w:rsidRPr="008B6DB2">
        <w:rPr>
          <w:rFonts w:ascii="Verdana" w:hAnsi="Verdana"/>
          <w:i/>
          <w:iCs/>
          <w:sz w:val="24"/>
          <w:szCs w:val="24"/>
        </w:rPr>
        <w:t xml:space="preserve">                              </w:t>
      </w:r>
      <w:r w:rsidR="00706D06" w:rsidRPr="008B6DB2">
        <w:rPr>
          <w:rFonts w:ascii="Verdana" w:hAnsi="Verdana"/>
          <w:i/>
          <w:iCs/>
          <w:sz w:val="24"/>
          <w:szCs w:val="24"/>
        </w:rPr>
        <w:t xml:space="preserve"> “Art. 48. São instrumentos de transparência da gestão fiscal, aos quais será dada ampla divulgação, inclusive em meios eletrônicos de acesso público:</w:t>
      </w:r>
      <w:r w:rsidR="00B76996">
        <w:rPr>
          <w:rFonts w:ascii="Verdana" w:hAnsi="Verdana"/>
          <w:i/>
          <w:iCs/>
          <w:sz w:val="24"/>
          <w:szCs w:val="24"/>
        </w:rPr>
        <w:t xml:space="preserve"> os</w:t>
      </w:r>
      <w:r w:rsidR="00706D06" w:rsidRPr="008B6DB2">
        <w:rPr>
          <w:rFonts w:ascii="Verdana" w:hAnsi="Verdana"/>
          <w:i/>
          <w:iCs/>
          <w:sz w:val="24"/>
          <w:szCs w:val="24"/>
        </w:rPr>
        <w:t xml:space="preserve"> planos, orçamentos e leis de diretrizes orçamentárias;</w:t>
      </w:r>
      <w:r w:rsidR="00B76996">
        <w:rPr>
          <w:rFonts w:ascii="Verdana" w:hAnsi="Verdana"/>
          <w:i/>
          <w:iCs/>
          <w:sz w:val="24"/>
          <w:szCs w:val="24"/>
        </w:rPr>
        <w:t xml:space="preserve"> as</w:t>
      </w:r>
      <w:r w:rsidR="00706D06" w:rsidRPr="008B6DB2">
        <w:rPr>
          <w:rFonts w:ascii="Verdana" w:hAnsi="Verdana"/>
          <w:i/>
          <w:iCs/>
          <w:sz w:val="24"/>
          <w:szCs w:val="24"/>
        </w:rPr>
        <w:t xml:space="preserve"> prestações de contas e</w:t>
      </w:r>
      <w:r w:rsidR="00B76996">
        <w:rPr>
          <w:rFonts w:ascii="Verdana" w:hAnsi="Verdana"/>
          <w:i/>
          <w:iCs/>
          <w:sz w:val="24"/>
          <w:szCs w:val="24"/>
        </w:rPr>
        <w:t xml:space="preserve"> o respectivo</w:t>
      </w:r>
      <w:r w:rsidR="00706D06" w:rsidRPr="008B6DB2">
        <w:rPr>
          <w:rFonts w:ascii="Verdana" w:hAnsi="Verdana"/>
          <w:i/>
          <w:iCs/>
          <w:sz w:val="24"/>
          <w:szCs w:val="24"/>
        </w:rPr>
        <w:t xml:space="preserve"> parecer prévio;</w:t>
      </w:r>
      <w:r w:rsidR="00B76996">
        <w:rPr>
          <w:rFonts w:ascii="Verdana" w:hAnsi="Verdana"/>
          <w:i/>
          <w:iCs/>
          <w:sz w:val="24"/>
          <w:szCs w:val="24"/>
        </w:rPr>
        <w:t xml:space="preserve"> o</w:t>
      </w:r>
      <w:r w:rsidR="00706D06" w:rsidRPr="008B6DB2">
        <w:rPr>
          <w:rFonts w:ascii="Verdana" w:hAnsi="Verdana"/>
          <w:i/>
          <w:iCs/>
          <w:sz w:val="24"/>
          <w:szCs w:val="24"/>
        </w:rPr>
        <w:t xml:space="preserve"> Relatório Resumido da Execução Orçamentária e Relatório de Gestão Fiscal; e</w:t>
      </w:r>
      <w:r w:rsidR="00B76996">
        <w:rPr>
          <w:rFonts w:ascii="Verdana" w:hAnsi="Verdana"/>
          <w:i/>
          <w:iCs/>
          <w:sz w:val="24"/>
          <w:szCs w:val="24"/>
        </w:rPr>
        <w:t xml:space="preserve"> as</w:t>
      </w:r>
      <w:r w:rsidR="00706D06" w:rsidRPr="008B6DB2">
        <w:rPr>
          <w:rFonts w:ascii="Verdana" w:hAnsi="Verdana"/>
          <w:i/>
          <w:iCs/>
          <w:sz w:val="24"/>
          <w:szCs w:val="24"/>
        </w:rPr>
        <w:t xml:space="preserve"> versões simplificadas desses documentos.</w:t>
      </w:r>
    </w:p>
    <w:p w14:paraId="5DB972B7" w14:textId="300A3911" w:rsidR="008B6DB2" w:rsidRPr="008B6DB2" w:rsidRDefault="008B6DB2" w:rsidP="00AF6E4B">
      <w:pPr>
        <w:tabs>
          <w:tab w:val="left" w:pos="3808"/>
          <w:tab w:val="right" w:pos="8504"/>
        </w:tabs>
        <w:ind w:firstLine="20"/>
        <w:jc w:val="both"/>
        <w:rPr>
          <w:rFonts w:ascii="Verdana" w:hAnsi="Verdana"/>
          <w:i/>
          <w:iCs/>
          <w:sz w:val="24"/>
          <w:szCs w:val="24"/>
        </w:rPr>
      </w:pPr>
      <w:r w:rsidRPr="008B6DB2">
        <w:rPr>
          <w:rFonts w:ascii="Verdana" w:hAnsi="Verdana"/>
          <w:i/>
          <w:iCs/>
          <w:sz w:val="24"/>
          <w:szCs w:val="24"/>
        </w:rPr>
        <w:t xml:space="preserve">                               </w:t>
      </w:r>
      <w:r w:rsidR="00706D06" w:rsidRPr="008B6DB2">
        <w:rPr>
          <w:rFonts w:ascii="Verdana" w:hAnsi="Verdana"/>
          <w:i/>
          <w:iCs/>
          <w:sz w:val="24"/>
          <w:szCs w:val="24"/>
        </w:rPr>
        <w:t xml:space="preserve">§ 1º A transparência será assegurada também </w:t>
      </w:r>
      <w:r w:rsidR="00411F5E">
        <w:rPr>
          <w:rFonts w:ascii="Verdana" w:hAnsi="Verdana"/>
          <w:i/>
          <w:iCs/>
          <w:sz w:val="24"/>
          <w:szCs w:val="24"/>
        </w:rPr>
        <w:t>mediante</w:t>
      </w:r>
      <w:r w:rsidR="00706D06" w:rsidRPr="008B6DB2">
        <w:rPr>
          <w:rFonts w:ascii="Verdana" w:hAnsi="Verdana"/>
          <w:i/>
          <w:iCs/>
          <w:sz w:val="24"/>
          <w:szCs w:val="24"/>
        </w:rPr>
        <w:t xml:space="preserve">: </w:t>
      </w:r>
    </w:p>
    <w:p w14:paraId="6B69690E" w14:textId="3B865D19" w:rsidR="00706D06" w:rsidRPr="008B6DB2" w:rsidRDefault="008B6DB2" w:rsidP="00AF6E4B">
      <w:pPr>
        <w:tabs>
          <w:tab w:val="left" w:pos="3808"/>
          <w:tab w:val="right" w:pos="8504"/>
        </w:tabs>
        <w:ind w:firstLine="20"/>
        <w:jc w:val="both"/>
        <w:rPr>
          <w:rFonts w:ascii="Verdana" w:hAnsi="Verdana"/>
          <w:i/>
          <w:iCs/>
          <w:sz w:val="24"/>
          <w:szCs w:val="24"/>
        </w:rPr>
      </w:pPr>
      <w:r w:rsidRPr="008B6DB2">
        <w:rPr>
          <w:rFonts w:ascii="Verdana" w:hAnsi="Verdana"/>
          <w:i/>
          <w:iCs/>
          <w:sz w:val="24"/>
          <w:szCs w:val="24"/>
        </w:rPr>
        <w:t xml:space="preserve">                               </w:t>
      </w:r>
      <w:r w:rsidR="00706D06" w:rsidRPr="008B6DB2">
        <w:rPr>
          <w:rFonts w:ascii="Verdana" w:hAnsi="Verdana"/>
          <w:i/>
          <w:iCs/>
          <w:sz w:val="24"/>
          <w:szCs w:val="24"/>
        </w:rPr>
        <w:t>II. Liberação ao pleno conhecimento e acompanhamento da sociedade, em tempo real, de informações detalhadas sobre a execução orçamentária e financeira, em meios eletrônicos de acesso público;</w:t>
      </w:r>
    </w:p>
    <w:p w14:paraId="45F0238A" w14:textId="77777777" w:rsidR="00706D06" w:rsidRPr="008B6DB2" w:rsidRDefault="00706D06" w:rsidP="00AF6E4B">
      <w:pPr>
        <w:tabs>
          <w:tab w:val="left" w:pos="3808"/>
          <w:tab w:val="right" w:pos="8504"/>
        </w:tabs>
        <w:ind w:firstLine="20"/>
        <w:jc w:val="both"/>
        <w:rPr>
          <w:rFonts w:ascii="Verdana" w:hAnsi="Verdana"/>
          <w:i/>
          <w:iCs/>
          <w:sz w:val="24"/>
          <w:szCs w:val="24"/>
        </w:rPr>
      </w:pPr>
    </w:p>
    <w:p w14:paraId="407C2BC0" w14:textId="62A78721" w:rsidR="00706D06" w:rsidRDefault="008B6DB2" w:rsidP="00AF6E4B">
      <w:pPr>
        <w:tabs>
          <w:tab w:val="left" w:pos="3808"/>
          <w:tab w:val="right" w:pos="8504"/>
        </w:tabs>
        <w:ind w:firstLine="20"/>
        <w:jc w:val="both"/>
        <w:rPr>
          <w:rFonts w:ascii="Verdana" w:hAnsi="Verdana"/>
          <w:i/>
          <w:iCs/>
          <w:sz w:val="24"/>
          <w:szCs w:val="24"/>
        </w:rPr>
      </w:pPr>
      <w:r w:rsidRPr="008B6DB2">
        <w:rPr>
          <w:rFonts w:ascii="Verdana" w:hAnsi="Verdana"/>
          <w:i/>
          <w:iCs/>
          <w:sz w:val="24"/>
          <w:szCs w:val="24"/>
        </w:rPr>
        <w:t xml:space="preserve">                                </w:t>
      </w:r>
      <w:r w:rsidR="00706D06" w:rsidRPr="008B6DB2">
        <w:rPr>
          <w:rFonts w:ascii="Verdana" w:hAnsi="Verdana"/>
          <w:i/>
          <w:iCs/>
          <w:sz w:val="24"/>
          <w:szCs w:val="24"/>
        </w:rPr>
        <w:t>§ 2º A União, os Estados, o Distrito Federal e os Municípios disponibilizar</w:t>
      </w:r>
      <w:r w:rsidR="00411F5E">
        <w:rPr>
          <w:rFonts w:ascii="Verdana" w:hAnsi="Verdana"/>
          <w:i/>
          <w:iCs/>
          <w:sz w:val="24"/>
          <w:szCs w:val="24"/>
        </w:rPr>
        <w:t>ão suas</w:t>
      </w:r>
      <w:r w:rsidR="00706D06" w:rsidRPr="008B6DB2">
        <w:rPr>
          <w:rFonts w:ascii="Verdana" w:hAnsi="Verdana"/>
          <w:i/>
          <w:iCs/>
          <w:sz w:val="24"/>
          <w:szCs w:val="24"/>
        </w:rPr>
        <w:t xml:space="preserve"> informações e dados contábeis, orçamentários e fiscais conforme periodicidade, formato e sistema estabelecidos pelo órgão central de contabilidade da União,</w:t>
      </w:r>
      <w:r w:rsidR="009C0A4F">
        <w:rPr>
          <w:rFonts w:ascii="Verdana" w:hAnsi="Verdana"/>
          <w:i/>
          <w:iCs/>
          <w:sz w:val="24"/>
          <w:szCs w:val="24"/>
        </w:rPr>
        <w:t xml:space="preserve"> os quais deverão ser</w:t>
      </w:r>
      <w:r w:rsidR="00706D06" w:rsidRPr="008B6DB2">
        <w:rPr>
          <w:rFonts w:ascii="Verdana" w:hAnsi="Verdana"/>
          <w:i/>
          <w:iCs/>
          <w:sz w:val="24"/>
          <w:szCs w:val="24"/>
        </w:rPr>
        <w:t xml:space="preserve"> divulgados em meio eletrônico de amplo acesso público.</w:t>
      </w:r>
    </w:p>
    <w:p w14:paraId="1FDCE18D" w14:textId="0FC2F813" w:rsidR="008F2C62" w:rsidRPr="008F2C62" w:rsidRDefault="008F2C62" w:rsidP="008F2C62">
      <w:pPr>
        <w:ind w:firstLine="708"/>
        <w:jc w:val="both"/>
        <w:rPr>
          <w:rFonts w:ascii="Verdana" w:hAnsi="Verdana"/>
          <w:i/>
          <w:iCs/>
          <w:sz w:val="24"/>
          <w:szCs w:val="24"/>
        </w:rPr>
      </w:pPr>
      <w:r w:rsidRPr="008F2C62">
        <w:rPr>
          <w:rFonts w:ascii="Verdana" w:hAnsi="Verdana"/>
          <w:i/>
          <w:iCs/>
          <w:sz w:val="24"/>
          <w:szCs w:val="24"/>
        </w:rPr>
        <w:t xml:space="preserve">                       Art. 48-A Para os fins a que se refere o inciso II do parágrafo único do art. 48, os entes da Federação disponibilizarão a qualquer pessoa física ou jurídica o acesso a informações referentes a:</w:t>
      </w:r>
    </w:p>
    <w:p w14:paraId="77C59C8F" w14:textId="4525363B" w:rsidR="008F2C62" w:rsidRPr="008F2C62" w:rsidRDefault="008F2C62" w:rsidP="008F2C62">
      <w:pPr>
        <w:ind w:firstLine="708"/>
        <w:jc w:val="both"/>
        <w:rPr>
          <w:rFonts w:ascii="Verdana" w:hAnsi="Verdana"/>
          <w:i/>
          <w:iCs/>
          <w:sz w:val="24"/>
          <w:szCs w:val="24"/>
        </w:rPr>
      </w:pPr>
      <w:r w:rsidRPr="008F2C62">
        <w:rPr>
          <w:rFonts w:ascii="Verdana" w:hAnsi="Verdana"/>
          <w:i/>
          <w:iCs/>
          <w:sz w:val="24"/>
          <w:szCs w:val="24"/>
        </w:rPr>
        <w:t xml:space="preserve">                       1-</w:t>
      </w:r>
      <w:proofErr w:type="gramStart"/>
      <w:r w:rsidRPr="008F2C62">
        <w:rPr>
          <w:rFonts w:ascii="Verdana" w:hAnsi="Verdana"/>
          <w:i/>
          <w:iCs/>
          <w:sz w:val="24"/>
          <w:szCs w:val="24"/>
        </w:rPr>
        <w:t>quanto</w:t>
      </w:r>
      <w:proofErr w:type="gramEnd"/>
      <w:r w:rsidRPr="008F2C62">
        <w:rPr>
          <w:rFonts w:ascii="Verdana" w:hAnsi="Verdana"/>
          <w:i/>
          <w:iCs/>
          <w:sz w:val="24"/>
          <w:szCs w:val="24"/>
        </w:rPr>
        <w:t xml:space="preserve"> a despesa: todos os atos praticados pelas unidades gestoras no decorrer da execução da despesa, no momento de sua realização, com a disponibilização mínima dos dados referentes ao número correspondente do processo, ao bem fornecido ou ao serviço prestado, à pessoa física ou jurídica </w:t>
      </w:r>
      <w:proofErr w:type="spellStart"/>
      <w:r w:rsidRPr="008F2C62">
        <w:rPr>
          <w:rFonts w:ascii="Verdana" w:hAnsi="Verdana"/>
          <w:i/>
          <w:iCs/>
          <w:sz w:val="24"/>
          <w:szCs w:val="24"/>
        </w:rPr>
        <w:t>benefíciária</w:t>
      </w:r>
      <w:proofErr w:type="spellEnd"/>
      <w:r w:rsidRPr="008F2C62">
        <w:rPr>
          <w:rFonts w:ascii="Verdana" w:hAnsi="Verdana"/>
          <w:i/>
          <w:iCs/>
          <w:sz w:val="24"/>
          <w:szCs w:val="24"/>
        </w:rPr>
        <w:t xml:space="preserve"> do pagamento e, quando for o caso, ao procedimento licitatório realizado;</w:t>
      </w:r>
    </w:p>
    <w:p w14:paraId="0A70AE56" w14:textId="149DCBF9" w:rsidR="008F2C62" w:rsidRPr="008B6DB2" w:rsidRDefault="008F2C62" w:rsidP="008F2C62">
      <w:pPr>
        <w:ind w:firstLine="708"/>
        <w:jc w:val="both"/>
        <w:rPr>
          <w:rFonts w:ascii="Verdana" w:hAnsi="Verdana"/>
          <w:i/>
          <w:iCs/>
          <w:sz w:val="24"/>
          <w:szCs w:val="24"/>
        </w:rPr>
      </w:pPr>
      <w:r w:rsidRPr="008F2C62">
        <w:rPr>
          <w:rFonts w:ascii="Verdana" w:hAnsi="Verdana"/>
          <w:i/>
          <w:iCs/>
          <w:sz w:val="24"/>
          <w:szCs w:val="24"/>
        </w:rPr>
        <w:t xml:space="preserve">                       II-</w:t>
      </w:r>
      <w:proofErr w:type="gramStart"/>
      <w:r w:rsidRPr="008F2C62">
        <w:rPr>
          <w:rFonts w:ascii="Verdana" w:hAnsi="Verdana"/>
          <w:i/>
          <w:iCs/>
          <w:sz w:val="24"/>
          <w:szCs w:val="24"/>
        </w:rPr>
        <w:t>quanto</w:t>
      </w:r>
      <w:proofErr w:type="gramEnd"/>
      <w:r w:rsidRPr="008F2C62">
        <w:rPr>
          <w:rFonts w:ascii="Verdana" w:hAnsi="Verdana"/>
          <w:i/>
          <w:iCs/>
          <w:sz w:val="24"/>
          <w:szCs w:val="24"/>
        </w:rPr>
        <w:t xml:space="preserve"> à receita: o lançamento e o recebimento de toda a receita das unidades gestoras, inclusive referente a recursos extraordinários.</w:t>
      </w:r>
    </w:p>
    <w:p w14:paraId="091338CA" w14:textId="37BEB276" w:rsidR="00706D06" w:rsidRPr="00AF6E4B" w:rsidRDefault="008B6DB2" w:rsidP="00AF6E4B">
      <w:pPr>
        <w:tabs>
          <w:tab w:val="left" w:pos="3808"/>
          <w:tab w:val="right" w:pos="8504"/>
        </w:tabs>
        <w:ind w:firstLine="20"/>
        <w:jc w:val="both"/>
        <w:rPr>
          <w:rFonts w:ascii="Verdana" w:hAnsi="Verdana"/>
          <w:sz w:val="24"/>
          <w:szCs w:val="24"/>
        </w:rPr>
      </w:pPr>
      <w:r w:rsidRPr="008B6DB2">
        <w:rPr>
          <w:rFonts w:ascii="Verdana" w:hAnsi="Verdana"/>
          <w:i/>
          <w:iCs/>
          <w:sz w:val="24"/>
          <w:szCs w:val="24"/>
        </w:rPr>
        <w:t xml:space="preserve">                                </w:t>
      </w:r>
      <w:r w:rsidR="00706D06" w:rsidRPr="008B6DB2">
        <w:rPr>
          <w:rFonts w:ascii="Verdana" w:hAnsi="Verdana"/>
          <w:i/>
          <w:iCs/>
          <w:sz w:val="24"/>
          <w:szCs w:val="24"/>
        </w:rPr>
        <w:t>Art. 49. As contas apresentadas pelo Chefe do Poder Executivo ficarão disponíveis, durante todo o exercício, no respectivo Poder Legislativo e no órgão técnico responsável pela sua elaboração, para consulta e apreciação por cidadãos e instituições da sociedade.”</w:t>
      </w:r>
    </w:p>
    <w:p w14:paraId="7433CC24" w14:textId="7137AB5C"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Portanto, o Poder Legislativo e toda a população já contam com mecanismos de transparência das contas públicas.</w:t>
      </w:r>
    </w:p>
    <w:p w14:paraId="58FD450F" w14:textId="44B9D221"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Além disso, no exercício de sua função fiscalizatória, o Poder Legislativo pode encaminhar ao secretário municipal e a dirigentes de entidades da Administração indireta pedidos, por escrito, de informações. A recusa ou não atendimento no prazo de 30 dias, ou a prestação de informações falsas, constitui infração administrativa sujeita a responsabilização (parágrafo único do art. 46 da LOM). O Legislativo Municipal também pode convocar secretários municipais e entidades da Administração indireta para prestarem informações sobre assuntos previamente estipulados, sob pena de responsabilidade (art. 46, caput da LOM).</w:t>
      </w:r>
    </w:p>
    <w:p w14:paraId="04A00FD8" w14:textId="18E9A555" w:rsidR="00706D06" w:rsidRPr="00AF6E4B" w:rsidRDefault="008B6DB2" w:rsidP="00AF6E4B">
      <w:pPr>
        <w:tabs>
          <w:tab w:val="left" w:pos="3808"/>
          <w:tab w:val="right" w:pos="8504"/>
        </w:tabs>
        <w:ind w:firstLine="20"/>
        <w:jc w:val="both"/>
        <w:rPr>
          <w:rFonts w:ascii="Verdana" w:hAnsi="Verdana"/>
          <w:sz w:val="24"/>
          <w:szCs w:val="24"/>
        </w:rPr>
      </w:pPr>
      <w:r>
        <w:rPr>
          <w:rFonts w:ascii="Verdana" w:hAnsi="Verdana"/>
          <w:sz w:val="24"/>
          <w:szCs w:val="24"/>
        </w:rPr>
        <w:lastRenderedPageBreak/>
        <w:t xml:space="preserve">                              </w:t>
      </w:r>
      <w:r w:rsidR="00706D06" w:rsidRPr="00AF6E4B">
        <w:rPr>
          <w:rFonts w:ascii="Verdana" w:hAnsi="Verdana"/>
          <w:sz w:val="24"/>
          <w:szCs w:val="24"/>
        </w:rPr>
        <w:t>As audiências públicas realizadas quadrimestralmente pela Comissão Permanente de Fiscalização Financeira, Orçamentária e de Tomada de Contas da Câmara Municipal são ocasiões em que se debate o Relatório de Gestão Fiscal apresentado pelo Poder Executivo, relativo à aplicação dos recursos públicos nos quadrimestres fiscais, além dos programas e ações realizados pelo Município.</w:t>
      </w:r>
    </w:p>
    <w:p w14:paraId="7E9C87F9" w14:textId="543DFE91"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Esses são</w:t>
      </w:r>
      <w:r w:rsidR="001E362D">
        <w:rPr>
          <w:rFonts w:ascii="Verdana" w:hAnsi="Verdana"/>
          <w:sz w:val="24"/>
          <w:szCs w:val="24"/>
        </w:rPr>
        <w:t xml:space="preserve"> alguns dos</w:t>
      </w:r>
      <w:r w:rsidR="00706D06" w:rsidRPr="00AF6E4B">
        <w:rPr>
          <w:rFonts w:ascii="Verdana" w:hAnsi="Verdana"/>
          <w:sz w:val="24"/>
          <w:szCs w:val="24"/>
        </w:rPr>
        <w:t xml:space="preserve"> instrumentos colocados pela Constituição Federal e legislação infraconstitucional à disposição dos Vereadores e da população, para garantir a transparência na gestão fiscal e possibilitar o exercício da função fiscalizatória da Câmara Municipal.</w:t>
      </w:r>
    </w:p>
    <w:p w14:paraId="25C17570" w14:textId="561508BB"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Assim, o acréscimo do § 2º ao art. 4º da Lei nº 9.739/2023, conforme propõe o art. 1º do substitutivo, não só estabelece o que já está previsto em leis aplicáveis à matéria fiscal, como também fere a Constituição ao impor atribuições ao Poder Executivo, notadamente a obrigatoriedade de envio trimestral à Comissão de Fiscalização Financeira da Câmara de relatório detalhado dos recursos aplicados no pagamento dos incentivos e benefícios adicionais aos ACS e ACE (art. 61, § 1º, II, “e” combinado com art. 84, VI, da Constituição Federal, aplicáveis aos Municípios por simetria, nos termos do art. 29 da Carta Magna). O Relatório de Gestão Fiscal encaminhado quadrimestralmente ao Poder Legislativo municipal permite o acompanhamento d</w:t>
      </w:r>
      <w:r w:rsidR="001E362D">
        <w:rPr>
          <w:rFonts w:ascii="Verdana" w:hAnsi="Verdana"/>
          <w:sz w:val="24"/>
          <w:szCs w:val="24"/>
        </w:rPr>
        <w:t>a aplicação dos</w:t>
      </w:r>
      <w:r w:rsidR="00706D06" w:rsidRPr="00AF6E4B">
        <w:rPr>
          <w:rFonts w:ascii="Verdana" w:hAnsi="Verdana"/>
          <w:sz w:val="24"/>
          <w:szCs w:val="24"/>
        </w:rPr>
        <w:t xml:space="preserve"> recursos públicos,</w:t>
      </w:r>
      <w:r>
        <w:rPr>
          <w:rFonts w:ascii="Verdana" w:hAnsi="Verdana"/>
          <w:sz w:val="24"/>
          <w:szCs w:val="24"/>
        </w:rPr>
        <w:t xml:space="preserve"> </w:t>
      </w:r>
      <w:r w:rsidR="001E362D">
        <w:rPr>
          <w:rFonts w:ascii="Verdana" w:hAnsi="Verdana"/>
          <w:sz w:val="24"/>
          <w:szCs w:val="24"/>
        </w:rPr>
        <w:t>incluindo</w:t>
      </w:r>
      <w:r w:rsidR="00706D06" w:rsidRPr="00AF6E4B">
        <w:rPr>
          <w:rFonts w:ascii="Verdana" w:hAnsi="Verdana"/>
          <w:sz w:val="24"/>
          <w:szCs w:val="24"/>
        </w:rPr>
        <w:t xml:space="preserve"> despesas com pessoal</w:t>
      </w:r>
      <w:r>
        <w:rPr>
          <w:rFonts w:ascii="Verdana" w:hAnsi="Verdana"/>
          <w:sz w:val="24"/>
          <w:szCs w:val="24"/>
        </w:rPr>
        <w:t xml:space="preserve"> dentre outras.</w:t>
      </w:r>
    </w:p>
    <w:p w14:paraId="19DE55C4" w14:textId="1FD95BFC"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O item 2 refere-se ao art. 2º do substitutivo, que acresce parágrafo único ao art. 35 da Lei nº 9.739/2023, estabelecendo que uma parcela do Incentivo Financeiro Adicional (IFA) e demais recursos repassados pela União seja</w:t>
      </w:r>
      <w:r w:rsidR="001E362D">
        <w:rPr>
          <w:rFonts w:ascii="Verdana" w:hAnsi="Verdana"/>
          <w:sz w:val="24"/>
          <w:szCs w:val="24"/>
        </w:rPr>
        <w:t>m</w:t>
      </w:r>
      <w:r w:rsidR="00706D06" w:rsidRPr="00AF6E4B">
        <w:rPr>
          <w:rFonts w:ascii="Verdana" w:hAnsi="Verdana"/>
          <w:sz w:val="24"/>
          <w:szCs w:val="24"/>
        </w:rPr>
        <w:t xml:space="preserve"> entregue</w:t>
      </w:r>
      <w:r w:rsidR="001E362D">
        <w:rPr>
          <w:rFonts w:ascii="Verdana" w:hAnsi="Verdana"/>
          <w:sz w:val="24"/>
          <w:szCs w:val="24"/>
        </w:rPr>
        <w:t>s</w:t>
      </w:r>
      <w:r w:rsidR="00706D06" w:rsidRPr="00AF6E4B">
        <w:rPr>
          <w:rFonts w:ascii="Verdana" w:hAnsi="Verdana"/>
          <w:sz w:val="24"/>
          <w:szCs w:val="24"/>
        </w:rPr>
        <w:t xml:space="preserve"> diretamente aos profissionais a título de prêmio ou remuneração adicional. Essa matéria diz respeito ao Regime Jurídico dos ACS e ACE, cuja iniciativa de lei é reservada ao Chefe do Executivo Municipal, conforme art. 61, § 1º, II, “c” da Constituição Federal, combinado com art. 76, II da Lei Orgânica do Município de Sete Lagoas. A proposta, nesse aspecto, viola a Constituição Federal e o princípio da separação dos poderes (art. 2º da CF).</w:t>
      </w:r>
    </w:p>
    <w:p w14:paraId="1AA626C5" w14:textId="3ECE6620"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Nesse contexto, mencion</w:t>
      </w:r>
      <w:r>
        <w:rPr>
          <w:rFonts w:ascii="Verdana" w:hAnsi="Verdana"/>
          <w:sz w:val="24"/>
          <w:szCs w:val="24"/>
        </w:rPr>
        <w:t>e</w:t>
      </w:r>
      <w:r w:rsidR="00706D06" w:rsidRPr="00AF6E4B">
        <w:rPr>
          <w:rFonts w:ascii="Verdana" w:hAnsi="Verdana"/>
          <w:sz w:val="24"/>
          <w:szCs w:val="24"/>
        </w:rPr>
        <w:t xml:space="preserve">-se a Tese nº 917 de </w:t>
      </w:r>
      <w:r w:rsidR="009C0A4F">
        <w:rPr>
          <w:rFonts w:ascii="Verdana" w:hAnsi="Verdana"/>
          <w:sz w:val="24"/>
          <w:szCs w:val="24"/>
        </w:rPr>
        <w:t>R</w:t>
      </w:r>
      <w:r w:rsidR="00706D06" w:rsidRPr="00AF6E4B">
        <w:rPr>
          <w:rFonts w:ascii="Verdana" w:hAnsi="Verdana"/>
          <w:sz w:val="24"/>
          <w:szCs w:val="24"/>
        </w:rPr>
        <w:t>epercussão geral do STF: “</w:t>
      </w:r>
      <w:r w:rsidR="00706D06" w:rsidRPr="00B25BF6">
        <w:rPr>
          <w:rFonts w:ascii="Verdana" w:hAnsi="Verdana"/>
          <w:i/>
          <w:iCs/>
          <w:sz w:val="24"/>
          <w:szCs w:val="24"/>
        </w:rPr>
        <w:t xml:space="preserve">Recurso extraordinário com agravo. </w:t>
      </w:r>
      <w:r w:rsidR="00706D06" w:rsidRPr="00B25BF6">
        <w:rPr>
          <w:rFonts w:ascii="Verdana" w:hAnsi="Verdana"/>
          <w:i/>
          <w:iCs/>
          <w:sz w:val="24"/>
          <w:szCs w:val="24"/>
        </w:rPr>
        <w:lastRenderedPageBreak/>
        <w:t>Repercussão geral.</w:t>
      </w:r>
      <w:r w:rsidR="009C0A4F">
        <w:rPr>
          <w:rFonts w:ascii="Verdana" w:hAnsi="Verdana"/>
          <w:i/>
          <w:iCs/>
          <w:sz w:val="24"/>
          <w:szCs w:val="24"/>
        </w:rPr>
        <w:t xml:space="preserve"> 2.</w:t>
      </w:r>
      <w:r w:rsidR="00706D06" w:rsidRPr="00B25BF6">
        <w:rPr>
          <w:rFonts w:ascii="Verdana" w:hAnsi="Verdana"/>
          <w:i/>
          <w:iCs/>
          <w:sz w:val="24"/>
          <w:szCs w:val="24"/>
        </w:rPr>
        <w:t xml:space="preserve"> Ação Direta de Inconstitucionalidade estadual. Lei 5.616/2013, do Município do Rio de Janeiro. Instalação de câmeras de monitoramento em escolas e cercanias. </w:t>
      </w:r>
      <w:r w:rsidR="007F0051">
        <w:rPr>
          <w:rFonts w:ascii="Verdana" w:hAnsi="Verdana"/>
          <w:i/>
          <w:iCs/>
          <w:sz w:val="24"/>
          <w:szCs w:val="24"/>
        </w:rPr>
        <w:t xml:space="preserve">3. </w:t>
      </w:r>
      <w:r w:rsidR="00706D06" w:rsidRPr="00B25BF6">
        <w:rPr>
          <w:rFonts w:ascii="Verdana" w:hAnsi="Verdana"/>
          <w:i/>
          <w:iCs/>
          <w:sz w:val="24"/>
          <w:szCs w:val="24"/>
        </w:rPr>
        <w:t xml:space="preserve">Inconstitucionalidade formal. Vício de iniciativa. Competência privativa do Poder Executivo municipal. Não ocorrência. </w:t>
      </w:r>
      <w:r w:rsidR="00706D06" w:rsidRPr="007F0051">
        <w:rPr>
          <w:rFonts w:ascii="Verdana" w:hAnsi="Verdana"/>
          <w:b/>
          <w:bCs/>
          <w:i/>
          <w:iCs/>
          <w:sz w:val="24"/>
          <w:szCs w:val="24"/>
        </w:rPr>
        <w:t>Não usurpa a competência privativa do chefe do Poder Executivo lei que, embora crie despesa para a Administração Pública, não trata da sua estrutura ou da atribuição de seus órgãos nem do regime jurídico de servidores públicos</w:t>
      </w:r>
      <w:r w:rsidR="00706D06" w:rsidRPr="00B25BF6">
        <w:rPr>
          <w:rFonts w:ascii="Verdana" w:hAnsi="Verdana"/>
          <w:i/>
          <w:iCs/>
          <w:sz w:val="24"/>
          <w:szCs w:val="24"/>
        </w:rPr>
        <w:t xml:space="preserve">. </w:t>
      </w:r>
      <w:r w:rsidR="007F0051">
        <w:rPr>
          <w:rFonts w:ascii="Verdana" w:hAnsi="Verdana"/>
          <w:i/>
          <w:iCs/>
          <w:sz w:val="24"/>
          <w:szCs w:val="24"/>
        </w:rPr>
        <w:t xml:space="preserve">4. </w:t>
      </w:r>
      <w:r w:rsidR="00706D06" w:rsidRPr="00B25BF6">
        <w:rPr>
          <w:rFonts w:ascii="Verdana" w:hAnsi="Verdana"/>
          <w:i/>
          <w:iCs/>
          <w:sz w:val="24"/>
          <w:szCs w:val="24"/>
        </w:rPr>
        <w:t xml:space="preserve">Repercussão geral reconhecida com reafirmação da jurisprudência desta Corte. </w:t>
      </w:r>
      <w:r w:rsidR="007F0051">
        <w:rPr>
          <w:rFonts w:ascii="Verdana" w:hAnsi="Verdana"/>
          <w:i/>
          <w:iCs/>
          <w:sz w:val="24"/>
          <w:szCs w:val="24"/>
        </w:rPr>
        <w:t xml:space="preserve">5. </w:t>
      </w:r>
      <w:r w:rsidR="00706D06" w:rsidRPr="00B25BF6">
        <w:rPr>
          <w:rFonts w:ascii="Verdana" w:hAnsi="Verdana"/>
          <w:i/>
          <w:iCs/>
          <w:sz w:val="24"/>
          <w:szCs w:val="24"/>
        </w:rPr>
        <w:t>Recurso extraordinário provido.”</w:t>
      </w:r>
      <w:r w:rsidR="00706D06" w:rsidRPr="00AF6E4B">
        <w:rPr>
          <w:rFonts w:ascii="Verdana" w:hAnsi="Verdana"/>
          <w:sz w:val="24"/>
          <w:szCs w:val="24"/>
        </w:rPr>
        <w:t xml:space="preserve"> (STF, RE nº 878.911/RJ. </w:t>
      </w:r>
      <w:proofErr w:type="spellStart"/>
      <w:r w:rsidR="00706D06" w:rsidRPr="00AF6E4B">
        <w:rPr>
          <w:rFonts w:ascii="Verdana" w:hAnsi="Verdana"/>
          <w:sz w:val="24"/>
          <w:szCs w:val="24"/>
        </w:rPr>
        <w:t>Rel</w:t>
      </w:r>
      <w:proofErr w:type="spellEnd"/>
      <w:r w:rsidR="00706D06" w:rsidRPr="00AF6E4B">
        <w:rPr>
          <w:rFonts w:ascii="Verdana" w:hAnsi="Verdana"/>
          <w:sz w:val="24"/>
          <w:szCs w:val="24"/>
        </w:rPr>
        <w:t>: Min. Gilmar Mendes. Julgamento: 29/09/2016. Publicação: 11/10/2016).</w:t>
      </w:r>
      <w:r w:rsidR="007F0051">
        <w:rPr>
          <w:rFonts w:ascii="Verdana" w:hAnsi="Verdana"/>
          <w:sz w:val="24"/>
          <w:szCs w:val="24"/>
        </w:rPr>
        <w:t xml:space="preserve"> (Grifos nossos).</w:t>
      </w:r>
    </w:p>
    <w:p w14:paraId="2F45E3B2" w14:textId="5E5C6A71"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Quanto à Emenda Aditiva nº 01/2025 que acresce § 2º ao art. 35 da Lei nº 9.739/23, a mesma fixa data (janeiro de cada ano) para o pagamento do Incentivo Financeiro Adicional (IFA) e estabelece que o pagamento do benefício se fará de forma integral e por rateio entre os ACS e ACE.</w:t>
      </w:r>
    </w:p>
    <w:p w14:paraId="67F32542" w14:textId="555F7C34"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Conforme mencionado, a remuneração e o regime jurídico desses servidores são embasados no § 5º do art. 198 da Constituição Federal, que dispõe sobre a necessidade de regulamento próprio para esses profissionais. A Lei Federal nº 11.350/2006, de iniciativa da União, e suas normas complementares fixam normas gerais para a contratação desses servidores, e a Lei Municipal nº 9.739/2023, de iniciativa do Chefe do Executivo Municipal, estabelece o regime jurídico administrativo dos ACS e ACE.</w:t>
      </w:r>
    </w:p>
    <w:p w14:paraId="13A9550F" w14:textId="25FBF01C" w:rsidR="00706D06" w:rsidRPr="00AF6E4B" w:rsidRDefault="00B25BF6" w:rsidP="00AF6E4B">
      <w:pPr>
        <w:tabs>
          <w:tab w:val="left" w:pos="3808"/>
          <w:tab w:val="right" w:pos="8504"/>
        </w:tabs>
        <w:ind w:firstLine="20"/>
        <w:jc w:val="both"/>
        <w:rPr>
          <w:rFonts w:ascii="Verdana" w:hAnsi="Verdana"/>
          <w:sz w:val="24"/>
          <w:szCs w:val="24"/>
        </w:rPr>
      </w:pPr>
      <w:r>
        <w:rPr>
          <w:rFonts w:ascii="Verdana" w:hAnsi="Verdana"/>
          <w:sz w:val="24"/>
          <w:szCs w:val="24"/>
        </w:rPr>
        <w:t xml:space="preserve">                               </w:t>
      </w:r>
      <w:r w:rsidR="00706D06" w:rsidRPr="00AF6E4B">
        <w:rPr>
          <w:rFonts w:ascii="Verdana" w:hAnsi="Verdana"/>
          <w:sz w:val="24"/>
          <w:szCs w:val="24"/>
        </w:rPr>
        <w:t>Portanto, a matéria objeto da emenda (data e forma de pagamento do incentivo financeiro, possibilidade de rateio) deverá ter diretrizes traçadas em lei federal e ser regulada em lei municipal de iniciativa do Prefeito, considerando que esses servidores, que atuam nos Municípios, são remunerados majoritariamente por transferências voluntárias do Fundo Nacional de Saúde (FNS) diretamente para o Fundo Municipal de Saúde</w:t>
      </w:r>
      <w:r>
        <w:rPr>
          <w:rFonts w:ascii="Verdana" w:hAnsi="Verdana"/>
          <w:sz w:val="24"/>
          <w:szCs w:val="24"/>
        </w:rPr>
        <w:t xml:space="preserve"> que é gerido </w:t>
      </w:r>
      <w:r w:rsidR="008F2C62">
        <w:rPr>
          <w:rFonts w:ascii="Verdana" w:hAnsi="Verdana"/>
          <w:sz w:val="24"/>
          <w:szCs w:val="24"/>
        </w:rPr>
        <w:t>pe</w:t>
      </w:r>
      <w:r>
        <w:rPr>
          <w:rFonts w:ascii="Verdana" w:hAnsi="Verdana"/>
          <w:sz w:val="24"/>
          <w:szCs w:val="24"/>
        </w:rPr>
        <w:t>lo Poder Executivo Municipal.</w:t>
      </w:r>
    </w:p>
    <w:p w14:paraId="6230D605" w14:textId="4FEDDA74" w:rsidR="00706D06" w:rsidRPr="001E362D" w:rsidRDefault="008F2C62" w:rsidP="00AF6E4B">
      <w:pPr>
        <w:tabs>
          <w:tab w:val="left" w:pos="3808"/>
          <w:tab w:val="right" w:pos="8504"/>
        </w:tabs>
        <w:ind w:firstLine="20"/>
        <w:jc w:val="both"/>
        <w:rPr>
          <w:rFonts w:ascii="Verdana" w:hAnsi="Verdana"/>
          <w:sz w:val="24"/>
          <w:szCs w:val="24"/>
        </w:rPr>
      </w:pPr>
      <w:r w:rsidRPr="001E362D">
        <w:rPr>
          <w:rFonts w:ascii="Verdana" w:hAnsi="Verdana"/>
          <w:sz w:val="24"/>
          <w:szCs w:val="24"/>
        </w:rPr>
        <w:t xml:space="preserve">                               </w:t>
      </w:r>
      <w:r w:rsidR="00706D06" w:rsidRPr="001E362D">
        <w:rPr>
          <w:rFonts w:ascii="Verdana" w:hAnsi="Verdana"/>
          <w:sz w:val="24"/>
          <w:szCs w:val="24"/>
        </w:rPr>
        <w:t xml:space="preserve">Vale registrar que está em tramitação no Congresso Nacional o Projeto de Lei nº 479/2023, que autoriza o Poder Executivo Municipal a ratear, no mínimo pelo valor do piso da categoria, a assistência financeira complementar prestada pela União, na forma de gratificação não remuneratória, entre os Agentes </w:t>
      </w:r>
      <w:r w:rsidR="00706D06" w:rsidRPr="001E362D">
        <w:rPr>
          <w:rFonts w:ascii="Verdana" w:hAnsi="Verdana"/>
          <w:sz w:val="24"/>
          <w:szCs w:val="24"/>
        </w:rPr>
        <w:lastRenderedPageBreak/>
        <w:t>Comunitários de Saúde e de Combate às Endemias, para fortalecimento de políticas do setor.</w:t>
      </w:r>
    </w:p>
    <w:p w14:paraId="64F7AC08" w14:textId="72EFF22D" w:rsidR="008F2C62" w:rsidRPr="001E362D" w:rsidRDefault="00674FE1" w:rsidP="00674FE1">
      <w:pPr>
        <w:jc w:val="both"/>
        <w:rPr>
          <w:rFonts w:ascii="Verdana" w:hAnsi="Verdana"/>
          <w:sz w:val="24"/>
          <w:szCs w:val="24"/>
        </w:rPr>
      </w:pPr>
      <w:r w:rsidRPr="001E362D">
        <w:rPr>
          <w:rFonts w:ascii="Verdana" w:hAnsi="Verdana"/>
          <w:sz w:val="24"/>
          <w:szCs w:val="24"/>
        </w:rPr>
        <w:t xml:space="preserve">                             </w:t>
      </w:r>
      <w:proofErr w:type="gramStart"/>
      <w:r w:rsidR="008F2C62" w:rsidRPr="001E362D">
        <w:rPr>
          <w:rFonts w:ascii="Verdana" w:hAnsi="Verdana"/>
          <w:sz w:val="24"/>
          <w:szCs w:val="24"/>
        </w:rPr>
        <w:t>Concluindo,  a</w:t>
      </w:r>
      <w:proofErr w:type="gramEnd"/>
      <w:r w:rsidR="008F2C62" w:rsidRPr="001E362D">
        <w:rPr>
          <w:rFonts w:ascii="Verdana" w:hAnsi="Verdana"/>
          <w:sz w:val="24"/>
          <w:szCs w:val="24"/>
        </w:rPr>
        <w:t xml:space="preserve"> competência para legislar sobre o regime jurídico de servidores públicos municipais é privativa do chefe do Poder Executivo municipal. Qualquer alteração nesse regime jurídico deve partir de iniciativa do Executivo, conforme a Constituição Federal e a Lei Orgânica do Município. O substitutivo</w:t>
      </w:r>
      <w:r w:rsidRPr="001E362D">
        <w:rPr>
          <w:rFonts w:ascii="Verdana" w:hAnsi="Verdana"/>
          <w:sz w:val="24"/>
          <w:szCs w:val="24"/>
        </w:rPr>
        <w:t xml:space="preserve"> e respectiva Emenda</w:t>
      </w:r>
      <w:r w:rsidR="008F2C62" w:rsidRPr="001E362D">
        <w:rPr>
          <w:rFonts w:ascii="Verdana" w:hAnsi="Verdana"/>
          <w:sz w:val="24"/>
          <w:szCs w:val="24"/>
        </w:rPr>
        <w:t>, ao alterar</w:t>
      </w:r>
      <w:r w:rsidRPr="001E362D">
        <w:rPr>
          <w:rFonts w:ascii="Verdana" w:hAnsi="Verdana"/>
          <w:sz w:val="24"/>
          <w:szCs w:val="24"/>
        </w:rPr>
        <w:t>em</w:t>
      </w:r>
      <w:r w:rsidR="008F2C62" w:rsidRPr="001E362D">
        <w:rPr>
          <w:rFonts w:ascii="Verdana" w:hAnsi="Verdana"/>
          <w:sz w:val="24"/>
          <w:szCs w:val="24"/>
        </w:rPr>
        <w:t xml:space="preserve"> aspectos do regime jurídico dos ACS e ACE, desrespeita</w:t>
      </w:r>
      <w:r w:rsidRPr="001E362D">
        <w:rPr>
          <w:rFonts w:ascii="Verdana" w:hAnsi="Verdana"/>
          <w:sz w:val="24"/>
          <w:szCs w:val="24"/>
        </w:rPr>
        <w:t>m</w:t>
      </w:r>
      <w:r w:rsidR="008F2C62" w:rsidRPr="001E362D">
        <w:rPr>
          <w:rFonts w:ascii="Verdana" w:hAnsi="Verdana"/>
          <w:sz w:val="24"/>
          <w:szCs w:val="24"/>
        </w:rPr>
        <w:t xml:space="preserve"> essa prerrogativa, apresentando</w:t>
      </w:r>
      <w:r w:rsidR="007F0051">
        <w:rPr>
          <w:rFonts w:ascii="Verdana" w:hAnsi="Verdana"/>
          <w:sz w:val="24"/>
          <w:szCs w:val="24"/>
        </w:rPr>
        <w:t xml:space="preserve"> as proposituras</w:t>
      </w:r>
      <w:r w:rsidR="008F2C62" w:rsidRPr="001E362D">
        <w:rPr>
          <w:rFonts w:ascii="Verdana" w:hAnsi="Verdana"/>
          <w:sz w:val="24"/>
          <w:szCs w:val="24"/>
        </w:rPr>
        <w:t xml:space="preserve"> vício</w:t>
      </w:r>
      <w:r w:rsidRPr="001E362D">
        <w:rPr>
          <w:rFonts w:ascii="Verdana" w:hAnsi="Verdana"/>
          <w:sz w:val="24"/>
          <w:szCs w:val="24"/>
        </w:rPr>
        <w:t>s</w:t>
      </w:r>
      <w:r w:rsidR="008F2C62" w:rsidRPr="001E362D">
        <w:rPr>
          <w:rFonts w:ascii="Verdana" w:hAnsi="Verdana"/>
          <w:sz w:val="24"/>
          <w:szCs w:val="24"/>
        </w:rPr>
        <w:t xml:space="preserve"> de iniciativa.</w:t>
      </w:r>
    </w:p>
    <w:p w14:paraId="7B5543D9" w14:textId="1FF6584A" w:rsidR="008F2C62" w:rsidRPr="001E362D" w:rsidRDefault="00674FE1" w:rsidP="00674FE1">
      <w:pPr>
        <w:jc w:val="both"/>
        <w:rPr>
          <w:rFonts w:ascii="Verdana" w:hAnsi="Verdana"/>
          <w:sz w:val="24"/>
          <w:szCs w:val="24"/>
        </w:rPr>
      </w:pPr>
      <w:r w:rsidRPr="001E362D">
        <w:rPr>
          <w:rFonts w:ascii="Verdana" w:hAnsi="Verdana"/>
          <w:sz w:val="24"/>
          <w:szCs w:val="24"/>
        </w:rPr>
        <w:t xml:space="preserve">                            </w:t>
      </w:r>
      <w:r w:rsidR="008F2C62" w:rsidRPr="001E362D">
        <w:rPr>
          <w:rFonts w:ascii="Verdana" w:hAnsi="Verdana"/>
          <w:sz w:val="24"/>
          <w:szCs w:val="24"/>
        </w:rPr>
        <w:t xml:space="preserve">A proposta de atribuir novas responsabilidades </w:t>
      </w:r>
      <w:r w:rsidR="001E362D">
        <w:rPr>
          <w:rFonts w:ascii="Verdana" w:hAnsi="Verdana"/>
          <w:sz w:val="24"/>
          <w:szCs w:val="24"/>
        </w:rPr>
        <w:t xml:space="preserve">fiscais </w:t>
      </w:r>
      <w:r w:rsidR="008F2C62" w:rsidRPr="001E362D">
        <w:rPr>
          <w:rFonts w:ascii="Verdana" w:hAnsi="Verdana"/>
          <w:sz w:val="24"/>
          <w:szCs w:val="24"/>
        </w:rPr>
        <w:t>ao Poder Executivo, como determinar o envio de relatórios trimestrais</w:t>
      </w:r>
      <w:r w:rsidR="00B867CC" w:rsidRPr="001E362D">
        <w:rPr>
          <w:rFonts w:ascii="Verdana" w:hAnsi="Verdana"/>
          <w:sz w:val="24"/>
          <w:szCs w:val="24"/>
        </w:rPr>
        <w:t xml:space="preserve"> à CFFOTC</w:t>
      </w:r>
      <w:r w:rsidR="008F2C62" w:rsidRPr="001E362D">
        <w:rPr>
          <w:rFonts w:ascii="Verdana" w:hAnsi="Verdana"/>
          <w:sz w:val="24"/>
          <w:szCs w:val="24"/>
        </w:rPr>
        <w:t>, viola o princípio da separação dos poderes. Atribuir funções ao Executivo</w:t>
      </w:r>
      <w:r w:rsidRPr="001E362D">
        <w:rPr>
          <w:rFonts w:ascii="Verdana" w:hAnsi="Verdana"/>
          <w:sz w:val="24"/>
          <w:szCs w:val="24"/>
        </w:rPr>
        <w:t>, principalmente obrigação de fazer,</w:t>
      </w:r>
      <w:r w:rsidR="008F2C62" w:rsidRPr="001E362D">
        <w:rPr>
          <w:rFonts w:ascii="Verdana" w:hAnsi="Verdana"/>
          <w:sz w:val="24"/>
          <w:szCs w:val="24"/>
        </w:rPr>
        <w:t xml:space="preserve"> é matéria que demanda iniciativa desse próprio Poder, </w:t>
      </w:r>
      <w:r w:rsidR="00B867CC" w:rsidRPr="001E362D">
        <w:rPr>
          <w:rFonts w:ascii="Verdana" w:hAnsi="Verdana"/>
          <w:sz w:val="24"/>
          <w:szCs w:val="24"/>
        </w:rPr>
        <w:t>em respeito</w:t>
      </w:r>
      <w:r w:rsidR="008F2C62" w:rsidRPr="001E362D">
        <w:rPr>
          <w:rFonts w:ascii="Verdana" w:hAnsi="Verdana"/>
          <w:sz w:val="24"/>
          <w:szCs w:val="24"/>
        </w:rPr>
        <w:t xml:space="preserve"> a autonomia dos Poderes definidos pela Constituição.</w:t>
      </w:r>
    </w:p>
    <w:p w14:paraId="3FF4A405" w14:textId="5598BA54" w:rsidR="008F2C62" w:rsidRPr="001E362D" w:rsidRDefault="00674FE1" w:rsidP="00674FE1">
      <w:pPr>
        <w:jc w:val="both"/>
        <w:rPr>
          <w:rFonts w:ascii="Verdana" w:hAnsi="Verdana"/>
          <w:sz w:val="24"/>
          <w:szCs w:val="24"/>
        </w:rPr>
      </w:pPr>
      <w:r w:rsidRPr="001E362D">
        <w:rPr>
          <w:rFonts w:ascii="Verdana" w:hAnsi="Verdana"/>
          <w:sz w:val="24"/>
          <w:szCs w:val="24"/>
        </w:rPr>
        <w:t xml:space="preserve">                            </w:t>
      </w:r>
      <w:r w:rsidR="008F2C62" w:rsidRPr="001E362D">
        <w:rPr>
          <w:rFonts w:ascii="Verdana" w:hAnsi="Verdana"/>
          <w:sz w:val="24"/>
          <w:szCs w:val="24"/>
        </w:rPr>
        <w:t xml:space="preserve">Embora a intenção de promover a transparência esteja alinhada com a Lei de Responsabilidade Fiscal, a execução desse objetivo deve respeitar os procedimentos </w:t>
      </w:r>
      <w:r w:rsidR="00B867CC" w:rsidRPr="001E362D">
        <w:rPr>
          <w:rFonts w:ascii="Verdana" w:hAnsi="Verdana"/>
          <w:sz w:val="24"/>
          <w:szCs w:val="24"/>
        </w:rPr>
        <w:t>legais</w:t>
      </w:r>
      <w:r w:rsidR="008F2C62" w:rsidRPr="001E362D">
        <w:rPr>
          <w:rFonts w:ascii="Verdana" w:hAnsi="Verdana"/>
          <w:sz w:val="24"/>
          <w:szCs w:val="24"/>
        </w:rPr>
        <w:t xml:space="preserve"> adequados. A obrigatoriedade de envio de relatórios específicos pode ser considerada um excesso, </w:t>
      </w:r>
      <w:r w:rsidR="00B867CC" w:rsidRPr="001E362D">
        <w:rPr>
          <w:rFonts w:ascii="Verdana" w:hAnsi="Verdana"/>
          <w:sz w:val="24"/>
          <w:szCs w:val="24"/>
        </w:rPr>
        <w:t>posto existirem</w:t>
      </w:r>
      <w:r w:rsidR="008F2C62" w:rsidRPr="001E362D">
        <w:rPr>
          <w:rFonts w:ascii="Verdana" w:hAnsi="Verdana"/>
          <w:sz w:val="24"/>
          <w:szCs w:val="24"/>
        </w:rPr>
        <w:t xml:space="preserve"> mecanismos suficientes de transparência e fiscalização.</w:t>
      </w:r>
    </w:p>
    <w:p w14:paraId="20C4FC6F" w14:textId="6FD64B31" w:rsidR="008F2C62" w:rsidRPr="001E362D" w:rsidRDefault="00674FE1" w:rsidP="00674FE1">
      <w:pPr>
        <w:jc w:val="both"/>
        <w:rPr>
          <w:rFonts w:ascii="Verdana" w:hAnsi="Verdana"/>
          <w:sz w:val="24"/>
          <w:szCs w:val="24"/>
        </w:rPr>
      </w:pPr>
      <w:r w:rsidRPr="001E362D">
        <w:rPr>
          <w:rFonts w:ascii="Verdana" w:hAnsi="Verdana"/>
          <w:sz w:val="24"/>
          <w:szCs w:val="24"/>
        </w:rPr>
        <w:t xml:space="preserve">                            </w:t>
      </w:r>
      <w:r w:rsidR="008F2C62" w:rsidRPr="001E362D">
        <w:rPr>
          <w:rFonts w:ascii="Verdana" w:hAnsi="Verdana"/>
          <w:sz w:val="24"/>
          <w:szCs w:val="24"/>
        </w:rPr>
        <w:t>As disposições sobre o pagamento do IFA</w:t>
      </w:r>
      <w:r w:rsidR="00B867CC" w:rsidRPr="001E362D">
        <w:rPr>
          <w:rFonts w:ascii="Verdana" w:hAnsi="Verdana"/>
          <w:sz w:val="24"/>
          <w:szCs w:val="24"/>
        </w:rPr>
        <w:t xml:space="preserve"> e de quaisquer outras vantagens custeadas pela União</w:t>
      </w:r>
      <w:r w:rsidR="008F2C62" w:rsidRPr="001E362D">
        <w:rPr>
          <w:rFonts w:ascii="Verdana" w:hAnsi="Verdana"/>
          <w:sz w:val="24"/>
          <w:szCs w:val="24"/>
        </w:rPr>
        <w:t xml:space="preserve"> devem estar de acordo com as diretrizes federais, como a Lei nº 11.350/2006</w:t>
      </w:r>
      <w:r w:rsidR="00B867CC" w:rsidRPr="001E362D">
        <w:rPr>
          <w:rFonts w:ascii="Verdana" w:hAnsi="Verdana"/>
          <w:sz w:val="24"/>
          <w:szCs w:val="24"/>
        </w:rPr>
        <w:t xml:space="preserve"> e suas normas regulamentadoras</w:t>
      </w:r>
      <w:r w:rsidR="008F2C62" w:rsidRPr="001E362D">
        <w:rPr>
          <w:rFonts w:ascii="Verdana" w:hAnsi="Verdana"/>
          <w:sz w:val="24"/>
          <w:szCs w:val="24"/>
        </w:rPr>
        <w:t>, já que interferem em repasses federais e na valorização dos agentes.</w:t>
      </w:r>
    </w:p>
    <w:p w14:paraId="0B624CE9" w14:textId="3E61D71E" w:rsidR="00706D06" w:rsidRPr="001E362D" w:rsidRDefault="00674FE1" w:rsidP="00674FE1">
      <w:pPr>
        <w:jc w:val="both"/>
        <w:rPr>
          <w:rFonts w:ascii="Verdana" w:hAnsi="Verdana"/>
          <w:sz w:val="24"/>
          <w:szCs w:val="24"/>
        </w:rPr>
      </w:pPr>
      <w:r w:rsidRPr="001E362D">
        <w:rPr>
          <w:rFonts w:ascii="Verdana" w:hAnsi="Verdana"/>
          <w:sz w:val="24"/>
          <w:szCs w:val="24"/>
        </w:rPr>
        <w:t xml:space="preserve">                           </w:t>
      </w:r>
      <w:r w:rsidR="00B867CC" w:rsidRPr="001E362D">
        <w:rPr>
          <w:rFonts w:ascii="Verdana" w:hAnsi="Verdana"/>
          <w:sz w:val="24"/>
          <w:szCs w:val="24"/>
        </w:rPr>
        <w:t xml:space="preserve">Por fim, </w:t>
      </w:r>
      <w:r w:rsidRPr="001E362D">
        <w:rPr>
          <w:rFonts w:ascii="Verdana" w:hAnsi="Verdana"/>
          <w:sz w:val="24"/>
          <w:szCs w:val="24"/>
        </w:rPr>
        <w:t>o</w:t>
      </w:r>
      <w:r w:rsidR="008F2C62" w:rsidRPr="001E362D">
        <w:rPr>
          <w:rFonts w:ascii="Verdana" w:hAnsi="Verdana"/>
          <w:sz w:val="24"/>
          <w:szCs w:val="24"/>
        </w:rPr>
        <w:t xml:space="preserve"> </w:t>
      </w:r>
      <w:r w:rsidRPr="001E362D">
        <w:rPr>
          <w:rFonts w:ascii="Verdana" w:hAnsi="Verdana"/>
          <w:sz w:val="24"/>
          <w:szCs w:val="24"/>
        </w:rPr>
        <w:t xml:space="preserve">Substitutivo nº 001/2025 ao Projeto de Lei nº 453/2024 </w:t>
      </w:r>
      <w:r w:rsidR="008F2C62" w:rsidRPr="001E362D">
        <w:rPr>
          <w:rFonts w:ascii="Verdana" w:hAnsi="Verdana"/>
          <w:sz w:val="24"/>
          <w:szCs w:val="24"/>
        </w:rPr>
        <w:t xml:space="preserve">e a </w:t>
      </w:r>
      <w:r w:rsidRPr="001E362D">
        <w:rPr>
          <w:rFonts w:ascii="Verdana" w:hAnsi="Verdana"/>
          <w:sz w:val="24"/>
          <w:szCs w:val="24"/>
        </w:rPr>
        <w:t>respectiva Emenda Aditiva nº 01/</w:t>
      </w:r>
      <w:proofErr w:type="gramStart"/>
      <w:r w:rsidRPr="001E362D">
        <w:rPr>
          <w:rFonts w:ascii="Verdana" w:hAnsi="Verdana"/>
          <w:sz w:val="24"/>
          <w:szCs w:val="24"/>
        </w:rPr>
        <w:t xml:space="preserve">2025 </w:t>
      </w:r>
      <w:r w:rsidR="008F2C62" w:rsidRPr="001E362D">
        <w:rPr>
          <w:rFonts w:ascii="Verdana" w:hAnsi="Verdana"/>
          <w:sz w:val="24"/>
          <w:szCs w:val="24"/>
        </w:rPr>
        <w:t xml:space="preserve"> </w:t>
      </w:r>
      <w:r w:rsidR="00560A11">
        <w:rPr>
          <w:rFonts w:ascii="Verdana" w:hAnsi="Verdana"/>
          <w:sz w:val="24"/>
          <w:szCs w:val="24"/>
        </w:rPr>
        <w:t>devem</w:t>
      </w:r>
      <w:proofErr w:type="gramEnd"/>
      <w:r w:rsidR="008F2C62" w:rsidRPr="001E362D">
        <w:rPr>
          <w:rFonts w:ascii="Verdana" w:hAnsi="Verdana"/>
          <w:sz w:val="24"/>
          <w:szCs w:val="24"/>
        </w:rPr>
        <w:t xml:space="preserve"> ser considerados inconstitucionais devido ao</w:t>
      </w:r>
      <w:r w:rsidR="00560A11">
        <w:rPr>
          <w:rFonts w:ascii="Verdana" w:hAnsi="Verdana"/>
          <w:sz w:val="24"/>
          <w:szCs w:val="24"/>
        </w:rPr>
        <w:t>s</w:t>
      </w:r>
      <w:r w:rsidR="008F2C62" w:rsidRPr="001E362D">
        <w:rPr>
          <w:rFonts w:ascii="Verdana" w:hAnsi="Verdana"/>
          <w:sz w:val="24"/>
          <w:szCs w:val="24"/>
        </w:rPr>
        <w:t xml:space="preserve"> vício</w:t>
      </w:r>
      <w:r w:rsidR="00560A11">
        <w:rPr>
          <w:rFonts w:ascii="Verdana" w:hAnsi="Verdana"/>
          <w:sz w:val="24"/>
          <w:szCs w:val="24"/>
        </w:rPr>
        <w:t>s</w:t>
      </w:r>
      <w:r w:rsidR="008F2C62" w:rsidRPr="001E362D">
        <w:rPr>
          <w:rFonts w:ascii="Verdana" w:hAnsi="Verdana"/>
          <w:sz w:val="24"/>
          <w:szCs w:val="24"/>
        </w:rPr>
        <w:t xml:space="preserve"> de iniciativa</w:t>
      </w:r>
      <w:r w:rsidR="00B860FF">
        <w:rPr>
          <w:rFonts w:ascii="Verdana" w:hAnsi="Verdana"/>
          <w:sz w:val="24"/>
          <w:szCs w:val="24"/>
        </w:rPr>
        <w:t xml:space="preserve"> apresentados, acarretando a</w:t>
      </w:r>
      <w:r w:rsidR="008F2C62" w:rsidRPr="001E362D">
        <w:rPr>
          <w:rFonts w:ascii="Verdana" w:hAnsi="Verdana"/>
          <w:sz w:val="24"/>
          <w:szCs w:val="24"/>
        </w:rPr>
        <w:t xml:space="preserve"> violação da separação dos poderes</w:t>
      </w:r>
      <w:r w:rsidRPr="001E362D">
        <w:rPr>
          <w:rFonts w:ascii="Verdana" w:hAnsi="Verdana"/>
          <w:sz w:val="24"/>
          <w:szCs w:val="24"/>
        </w:rPr>
        <w:t>, razão pela qual entendo que as proposituras não devem progredir.</w:t>
      </w:r>
    </w:p>
    <w:p w14:paraId="552D3C84" w14:textId="6B79D157" w:rsidR="00706D06" w:rsidRPr="001E362D" w:rsidRDefault="00674FE1" w:rsidP="00AF6E4B">
      <w:pPr>
        <w:tabs>
          <w:tab w:val="left" w:pos="3808"/>
          <w:tab w:val="right" w:pos="8504"/>
        </w:tabs>
        <w:ind w:firstLine="20"/>
        <w:jc w:val="both"/>
        <w:rPr>
          <w:rFonts w:ascii="Verdana" w:hAnsi="Verdana"/>
          <w:sz w:val="24"/>
          <w:szCs w:val="24"/>
        </w:rPr>
      </w:pPr>
      <w:r w:rsidRPr="001E362D">
        <w:rPr>
          <w:rFonts w:ascii="Verdana" w:hAnsi="Verdana"/>
          <w:sz w:val="24"/>
          <w:szCs w:val="24"/>
        </w:rPr>
        <w:t xml:space="preserve">                          </w:t>
      </w:r>
      <w:r w:rsidR="00706D06" w:rsidRPr="001E362D">
        <w:rPr>
          <w:rFonts w:ascii="Verdana" w:hAnsi="Verdana"/>
          <w:sz w:val="24"/>
          <w:szCs w:val="24"/>
        </w:rPr>
        <w:t>É o parecer, s</w:t>
      </w:r>
      <w:r w:rsidRPr="001E362D">
        <w:rPr>
          <w:rFonts w:ascii="Verdana" w:hAnsi="Verdana"/>
          <w:sz w:val="24"/>
          <w:szCs w:val="24"/>
        </w:rPr>
        <w:t>.</w:t>
      </w:r>
      <w:r w:rsidR="00706D06" w:rsidRPr="001E362D">
        <w:rPr>
          <w:rFonts w:ascii="Verdana" w:hAnsi="Verdana"/>
          <w:sz w:val="24"/>
          <w:szCs w:val="24"/>
        </w:rPr>
        <w:t xml:space="preserve"> </w:t>
      </w:r>
      <w:proofErr w:type="spellStart"/>
      <w:r w:rsidR="00706D06" w:rsidRPr="001E362D">
        <w:rPr>
          <w:rFonts w:ascii="Verdana" w:hAnsi="Verdana"/>
          <w:sz w:val="24"/>
          <w:szCs w:val="24"/>
        </w:rPr>
        <w:t>m</w:t>
      </w:r>
      <w:r w:rsidRPr="001E362D">
        <w:rPr>
          <w:rFonts w:ascii="Verdana" w:hAnsi="Verdana"/>
          <w:sz w:val="24"/>
          <w:szCs w:val="24"/>
        </w:rPr>
        <w:t>.j</w:t>
      </w:r>
      <w:proofErr w:type="spellEnd"/>
      <w:r w:rsidR="00706D06" w:rsidRPr="001E362D">
        <w:rPr>
          <w:rFonts w:ascii="Verdana" w:hAnsi="Verdana"/>
          <w:sz w:val="24"/>
          <w:szCs w:val="24"/>
        </w:rPr>
        <w:t>.</w:t>
      </w:r>
    </w:p>
    <w:p w14:paraId="437784CC" w14:textId="77777777" w:rsidR="00706D06" w:rsidRPr="001E362D" w:rsidRDefault="00706D06" w:rsidP="00AF6E4B">
      <w:pPr>
        <w:tabs>
          <w:tab w:val="left" w:pos="3808"/>
          <w:tab w:val="right" w:pos="8504"/>
        </w:tabs>
        <w:ind w:firstLine="20"/>
        <w:jc w:val="both"/>
        <w:rPr>
          <w:rFonts w:ascii="Verdana" w:hAnsi="Verdana"/>
          <w:sz w:val="24"/>
          <w:szCs w:val="24"/>
        </w:rPr>
      </w:pPr>
    </w:p>
    <w:p w14:paraId="5B2E4EB7" w14:textId="6AF73682" w:rsidR="00706D06" w:rsidRPr="001E362D" w:rsidRDefault="00674FE1" w:rsidP="00AF6E4B">
      <w:pPr>
        <w:tabs>
          <w:tab w:val="left" w:pos="3808"/>
          <w:tab w:val="right" w:pos="8504"/>
        </w:tabs>
        <w:ind w:firstLine="20"/>
        <w:jc w:val="both"/>
        <w:rPr>
          <w:rFonts w:ascii="Verdana" w:hAnsi="Verdana"/>
          <w:sz w:val="24"/>
          <w:szCs w:val="24"/>
        </w:rPr>
      </w:pPr>
      <w:r w:rsidRPr="001E362D">
        <w:rPr>
          <w:rFonts w:ascii="Verdana" w:hAnsi="Verdana"/>
          <w:sz w:val="24"/>
          <w:szCs w:val="24"/>
        </w:rPr>
        <w:t xml:space="preserve">                          </w:t>
      </w:r>
      <w:r w:rsidR="00706D06" w:rsidRPr="001E362D">
        <w:rPr>
          <w:rFonts w:ascii="Verdana" w:hAnsi="Verdana"/>
          <w:sz w:val="24"/>
          <w:szCs w:val="24"/>
        </w:rPr>
        <w:t>Fernando Geraldo Faria Roque</w:t>
      </w:r>
    </w:p>
    <w:p w14:paraId="1F8ABFD9" w14:textId="08D76751" w:rsidR="00706D06" w:rsidRPr="001E362D" w:rsidRDefault="00674FE1" w:rsidP="00AF6E4B">
      <w:pPr>
        <w:tabs>
          <w:tab w:val="left" w:pos="3808"/>
          <w:tab w:val="right" w:pos="8504"/>
        </w:tabs>
        <w:ind w:firstLine="20"/>
        <w:jc w:val="both"/>
        <w:rPr>
          <w:rFonts w:ascii="Verdana" w:hAnsi="Verdana"/>
          <w:sz w:val="24"/>
          <w:szCs w:val="24"/>
        </w:rPr>
      </w:pPr>
      <w:r w:rsidRPr="001E362D">
        <w:rPr>
          <w:rFonts w:ascii="Verdana" w:hAnsi="Verdana"/>
          <w:sz w:val="24"/>
          <w:szCs w:val="24"/>
        </w:rPr>
        <w:t xml:space="preserve">                          </w:t>
      </w:r>
      <w:r w:rsidR="00706D06" w:rsidRPr="001E362D">
        <w:rPr>
          <w:rFonts w:ascii="Verdana" w:hAnsi="Verdana"/>
          <w:sz w:val="24"/>
          <w:szCs w:val="24"/>
        </w:rPr>
        <w:t>Procurador</w:t>
      </w:r>
      <w:r w:rsidR="00D2347F" w:rsidRPr="001E362D">
        <w:rPr>
          <w:rFonts w:ascii="Verdana" w:hAnsi="Verdana"/>
          <w:sz w:val="24"/>
          <w:szCs w:val="24"/>
        </w:rPr>
        <w:t xml:space="preserve">        </w:t>
      </w:r>
    </w:p>
    <w:sectPr w:rsidR="00706D06" w:rsidRPr="001E362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0DD6" w14:textId="77777777" w:rsidR="00113ABF" w:rsidRDefault="00113ABF" w:rsidP="003C34B0">
      <w:pPr>
        <w:spacing w:after="0" w:line="240" w:lineRule="auto"/>
      </w:pPr>
      <w:r>
        <w:separator/>
      </w:r>
    </w:p>
  </w:endnote>
  <w:endnote w:type="continuationSeparator" w:id="0">
    <w:p w14:paraId="3E7AC0FD" w14:textId="77777777" w:rsidR="00113ABF" w:rsidRDefault="00113ABF"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D4DA" w14:textId="77777777" w:rsidR="003C34B0" w:rsidRDefault="003C34B0">
    <w:pPr>
      <w:pStyle w:val="Rodap"/>
    </w:pPr>
  </w:p>
  <w:p w14:paraId="010063B9" w14:textId="77777777" w:rsidR="003C34B0" w:rsidRDefault="003C34B0">
    <w:pPr>
      <w:pStyle w:val="Rodap"/>
    </w:pPr>
  </w:p>
  <w:p w14:paraId="06FE7059" w14:textId="77777777" w:rsidR="003C34B0" w:rsidRDefault="003C34B0">
    <w:pPr>
      <w:pStyle w:val="Rodap"/>
    </w:pPr>
  </w:p>
  <w:p w14:paraId="6A28CC64" w14:textId="77777777" w:rsidR="003C34B0" w:rsidRDefault="003C34B0">
    <w:pPr>
      <w:pStyle w:val="Rodap"/>
    </w:pPr>
  </w:p>
  <w:p w14:paraId="3A35F74D" w14:textId="77777777" w:rsidR="003C34B0" w:rsidRDefault="003C34B0">
    <w:pPr>
      <w:pStyle w:val="Rodap"/>
    </w:pPr>
  </w:p>
  <w:p w14:paraId="435D1466"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031E" w14:textId="77777777" w:rsidR="00113ABF" w:rsidRDefault="00113ABF" w:rsidP="003C34B0">
      <w:pPr>
        <w:spacing w:after="0" w:line="240" w:lineRule="auto"/>
      </w:pPr>
      <w:r>
        <w:separator/>
      </w:r>
    </w:p>
  </w:footnote>
  <w:footnote w:type="continuationSeparator" w:id="0">
    <w:p w14:paraId="0648F3EC" w14:textId="77777777" w:rsidR="00113ABF" w:rsidRDefault="00113ABF"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5406" w14:textId="77777777" w:rsidR="003C34B0" w:rsidRDefault="00204839">
    <w:pPr>
      <w:pStyle w:val="Cabealho"/>
    </w:pPr>
    <w:r>
      <w:rPr>
        <w:noProof/>
        <w:lang w:eastAsia="pt-BR"/>
      </w:rPr>
      <w:drawing>
        <wp:anchor distT="0" distB="0" distL="114300" distR="114300" simplePos="0" relativeHeight="251658240" behindDoc="1" locked="0" layoutInCell="1" allowOverlap="1" wp14:anchorId="4211C97A" wp14:editId="3F6B3638">
          <wp:simplePos x="0" y="0"/>
          <wp:positionH relativeFrom="page">
            <wp:align>right</wp:align>
          </wp:positionH>
          <wp:positionV relativeFrom="paragraph">
            <wp:posOffset>-449580</wp:posOffset>
          </wp:positionV>
          <wp:extent cx="7551075" cy="106775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1075" cy="10677525"/>
                  </a:xfrm>
                  <a:prstGeom prst="rect">
                    <a:avLst/>
                  </a:prstGeom>
                </pic:spPr>
              </pic:pic>
            </a:graphicData>
          </a:graphic>
          <wp14:sizeRelH relativeFrom="page">
            <wp14:pctWidth>0</wp14:pctWidth>
          </wp14:sizeRelH>
          <wp14:sizeRelV relativeFrom="page">
            <wp14:pctHeight>0</wp14:pctHeight>
          </wp14:sizeRelV>
        </wp:anchor>
      </w:drawing>
    </w:r>
  </w:p>
  <w:p w14:paraId="472976E5" w14:textId="77777777" w:rsidR="003C34B0" w:rsidRDefault="003C34B0">
    <w:pPr>
      <w:pStyle w:val="Cabealho"/>
    </w:pPr>
  </w:p>
  <w:p w14:paraId="1CC30DD4" w14:textId="77777777" w:rsidR="003C34B0" w:rsidRDefault="003C34B0">
    <w:pPr>
      <w:pStyle w:val="Cabealho"/>
    </w:pPr>
  </w:p>
  <w:p w14:paraId="01F6414E" w14:textId="77777777" w:rsidR="003C34B0" w:rsidRDefault="003C34B0">
    <w:pPr>
      <w:pStyle w:val="Cabealho"/>
    </w:pPr>
  </w:p>
  <w:p w14:paraId="5F34052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2480F"/>
    <w:multiLevelType w:val="hybridMultilevel"/>
    <w:tmpl w:val="43625B6E"/>
    <w:lvl w:ilvl="0" w:tplc="5796B0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569C"/>
    <w:rsid w:val="00010270"/>
    <w:rsid w:val="00010C2B"/>
    <w:rsid w:val="0003019E"/>
    <w:rsid w:val="000533CC"/>
    <w:rsid w:val="000B0903"/>
    <w:rsid w:val="00113ABF"/>
    <w:rsid w:val="001357C7"/>
    <w:rsid w:val="00140380"/>
    <w:rsid w:val="00150373"/>
    <w:rsid w:val="001570F1"/>
    <w:rsid w:val="00194F4D"/>
    <w:rsid w:val="001A7C5E"/>
    <w:rsid w:val="001B67F7"/>
    <w:rsid w:val="001C674C"/>
    <w:rsid w:val="001E362D"/>
    <w:rsid w:val="00204839"/>
    <w:rsid w:val="002065DC"/>
    <w:rsid w:val="00220EF2"/>
    <w:rsid w:val="002300AB"/>
    <w:rsid w:val="00234942"/>
    <w:rsid w:val="00237664"/>
    <w:rsid w:val="002402F0"/>
    <w:rsid w:val="002421AE"/>
    <w:rsid w:val="002531A2"/>
    <w:rsid w:val="002B0C9F"/>
    <w:rsid w:val="002E4106"/>
    <w:rsid w:val="002E58D7"/>
    <w:rsid w:val="00302E21"/>
    <w:rsid w:val="00304227"/>
    <w:rsid w:val="003575BE"/>
    <w:rsid w:val="003C34B0"/>
    <w:rsid w:val="003D44E4"/>
    <w:rsid w:val="00411F5E"/>
    <w:rsid w:val="00435457"/>
    <w:rsid w:val="00440DC4"/>
    <w:rsid w:val="00470023"/>
    <w:rsid w:val="00481634"/>
    <w:rsid w:val="00491019"/>
    <w:rsid w:val="0049793F"/>
    <w:rsid w:val="00560A11"/>
    <w:rsid w:val="005E6678"/>
    <w:rsid w:val="006142C3"/>
    <w:rsid w:val="00616986"/>
    <w:rsid w:val="006203E8"/>
    <w:rsid w:val="00665824"/>
    <w:rsid w:val="00666380"/>
    <w:rsid w:val="00667000"/>
    <w:rsid w:val="00674FE1"/>
    <w:rsid w:val="006E0934"/>
    <w:rsid w:val="006E1D3E"/>
    <w:rsid w:val="006E708E"/>
    <w:rsid w:val="006F3ED7"/>
    <w:rsid w:val="006F7B13"/>
    <w:rsid w:val="00706D06"/>
    <w:rsid w:val="00715B22"/>
    <w:rsid w:val="00754072"/>
    <w:rsid w:val="00761F5D"/>
    <w:rsid w:val="007621BF"/>
    <w:rsid w:val="007704A7"/>
    <w:rsid w:val="00771D51"/>
    <w:rsid w:val="0078028F"/>
    <w:rsid w:val="007F0051"/>
    <w:rsid w:val="007F38E4"/>
    <w:rsid w:val="0083464C"/>
    <w:rsid w:val="00840AB6"/>
    <w:rsid w:val="008413B2"/>
    <w:rsid w:val="0084216D"/>
    <w:rsid w:val="00847760"/>
    <w:rsid w:val="00855A4B"/>
    <w:rsid w:val="008770B7"/>
    <w:rsid w:val="008B6DB2"/>
    <w:rsid w:val="008F2C62"/>
    <w:rsid w:val="009070A1"/>
    <w:rsid w:val="00926909"/>
    <w:rsid w:val="00930D61"/>
    <w:rsid w:val="00930DA2"/>
    <w:rsid w:val="00932AC0"/>
    <w:rsid w:val="00952123"/>
    <w:rsid w:val="00953194"/>
    <w:rsid w:val="00963A7F"/>
    <w:rsid w:val="00990E80"/>
    <w:rsid w:val="009A3DA2"/>
    <w:rsid w:val="009A7A51"/>
    <w:rsid w:val="009C0A4F"/>
    <w:rsid w:val="009D6654"/>
    <w:rsid w:val="009D7007"/>
    <w:rsid w:val="009E70EC"/>
    <w:rsid w:val="009F6584"/>
    <w:rsid w:val="00A052DF"/>
    <w:rsid w:val="00A3563B"/>
    <w:rsid w:val="00A80A53"/>
    <w:rsid w:val="00AF6E4B"/>
    <w:rsid w:val="00B00A8A"/>
    <w:rsid w:val="00B219D1"/>
    <w:rsid w:val="00B235F6"/>
    <w:rsid w:val="00B25BF6"/>
    <w:rsid w:val="00B41D40"/>
    <w:rsid w:val="00B46312"/>
    <w:rsid w:val="00B76996"/>
    <w:rsid w:val="00B83B2A"/>
    <w:rsid w:val="00B860FF"/>
    <w:rsid w:val="00B867CC"/>
    <w:rsid w:val="00BB50F2"/>
    <w:rsid w:val="00BD5C35"/>
    <w:rsid w:val="00BF4DC0"/>
    <w:rsid w:val="00C24859"/>
    <w:rsid w:val="00C356FB"/>
    <w:rsid w:val="00C43CAF"/>
    <w:rsid w:val="00C47E07"/>
    <w:rsid w:val="00C8182F"/>
    <w:rsid w:val="00D2347F"/>
    <w:rsid w:val="00D23876"/>
    <w:rsid w:val="00D272D6"/>
    <w:rsid w:val="00D315E0"/>
    <w:rsid w:val="00D37A7B"/>
    <w:rsid w:val="00E02828"/>
    <w:rsid w:val="00E11DF3"/>
    <w:rsid w:val="00E36070"/>
    <w:rsid w:val="00E463F5"/>
    <w:rsid w:val="00E60DB8"/>
    <w:rsid w:val="00E66B2F"/>
    <w:rsid w:val="00E96CEB"/>
    <w:rsid w:val="00EB123F"/>
    <w:rsid w:val="00EC6FE8"/>
    <w:rsid w:val="00ED5BE2"/>
    <w:rsid w:val="00F47F87"/>
    <w:rsid w:val="00F54A8B"/>
    <w:rsid w:val="00F9414E"/>
    <w:rsid w:val="00FA0D57"/>
    <w:rsid w:val="00FC0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FB516"/>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5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styleId="Hyperlink">
    <w:name w:val="Hyperlink"/>
    <w:semiHidden/>
    <w:unhideWhenUsed/>
    <w:rsid w:val="001A7C5E"/>
    <w:rPr>
      <w:color w:val="000080"/>
      <w:u w:val="single"/>
    </w:rPr>
  </w:style>
  <w:style w:type="paragraph" w:customStyle="1" w:styleId="Estilopadro">
    <w:name w:val="Estilo padrão"/>
    <w:rsid w:val="001C674C"/>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NormalWeb">
    <w:name w:val="Normal (Web)"/>
    <w:basedOn w:val="Normal"/>
    <w:uiPriority w:val="99"/>
    <w:semiHidden/>
    <w:unhideWhenUsed/>
    <w:rsid w:val="00D234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57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7035">
      <w:bodyDiv w:val="1"/>
      <w:marLeft w:val="0"/>
      <w:marRight w:val="0"/>
      <w:marTop w:val="0"/>
      <w:marBottom w:val="0"/>
      <w:divBdr>
        <w:top w:val="none" w:sz="0" w:space="0" w:color="auto"/>
        <w:left w:val="none" w:sz="0" w:space="0" w:color="auto"/>
        <w:bottom w:val="none" w:sz="0" w:space="0" w:color="auto"/>
        <w:right w:val="none" w:sz="0" w:space="0" w:color="auto"/>
      </w:divBdr>
    </w:div>
    <w:div w:id="481317054">
      <w:bodyDiv w:val="1"/>
      <w:marLeft w:val="0"/>
      <w:marRight w:val="0"/>
      <w:marTop w:val="0"/>
      <w:marBottom w:val="0"/>
      <w:divBdr>
        <w:top w:val="none" w:sz="0" w:space="0" w:color="auto"/>
        <w:left w:val="none" w:sz="0" w:space="0" w:color="auto"/>
        <w:bottom w:val="none" w:sz="0" w:space="0" w:color="auto"/>
        <w:right w:val="none" w:sz="0" w:space="0" w:color="auto"/>
      </w:divBdr>
    </w:div>
    <w:div w:id="558172065">
      <w:bodyDiv w:val="1"/>
      <w:marLeft w:val="0"/>
      <w:marRight w:val="0"/>
      <w:marTop w:val="0"/>
      <w:marBottom w:val="0"/>
      <w:divBdr>
        <w:top w:val="none" w:sz="0" w:space="0" w:color="auto"/>
        <w:left w:val="none" w:sz="0" w:space="0" w:color="auto"/>
        <w:bottom w:val="none" w:sz="0" w:space="0" w:color="auto"/>
        <w:right w:val="none" w:sz="0" w:space="0" w:color="auto"/>
      </w:divBdr>
    </w:div>
    <w:div w:id="653729417">
      <w:bodyDiv w:val="1"/>
      <w:marLeft w:val="0"/>
      <w:marRight w:val="0"/>
      <w:marTop w:val="0"/>
      <w:marBottom w:val="0"/>
      <w:divBdr>
        <w:top w:val="none" w:sz="0" w:space="0" w:color="auto"/>
        <w:left w:val="none" w:sz="0" w:space="0" w:color="auto"/>
        <w:bottom w:val="none" w:sz="0" w:space="0" w:color="auto"/>
        <w:right w:val="none" w:sz="0" w:space="0" w:color="auto"/>
      </w:divBdr>
    </w:div>
    <w:div w:id="847255930">
      <w:bodyDiv w:val="1"/>
      <w:marLeft w:val="0"/>
      <w:marRight w:val="0"/>
      <w:marTop w:val="0"/>
      <w:marBottom w:val="0"/>
      <w:divBdr>
        <w:top w:val="none" w:sz="0" w:space="0" w:color="auto"/>
        <w:left w:val="none" w:sz="0" w:space="0" w:color="auto"/>
        <w:bottom w:val="none" w:sz="0" w:space="0" w:color="auto"/>
        <w:right w:val="none" w:sz="0" w:space="0" w:color="auto"/>
      </w:divBdr>
    </w:div>
    <w:div w:id="886835162">
      <w:bodyDiv w:val="1"/>
      <w:marLeft w:val="0"/>
      <w:marRight w:val="0"/>
      <w:marTop w:val="0"/>
      <w:marBottom w:val="0"/>
      <w:divBdr>
        <w:top w:val="none" w:sz="0" w:space="0" w:color="auto"/>
        <w:left w:val="none" w:sz="0" w:space="0" w:color="auto"/>
        <w:bottom w:val="none" w:sz="0" w:space="0" w:color="auto"/>
        <w:right w:val="none" w:sz="0" w:space="0" w:color="auto"/>
      </w:divBdr>
    </w:div>
    <w:div w:id="1090126855">
      <w:bodyDiv w:val="1"/>
      <w:marLeft w:val="0"/>
      <w:marRight w:val="0"/>
      <w:marTop w:val="0"/>
      <w:marBottom w:val="0"/>
      <w:divBdr>
        <w:top w:val="none" w:sz="0" w:space="0" w:color="auto"/>
        <w:left w:val="none" w:sz="0" w:space="0" w:color="auto"/>
        <w:bottom w:val="none" w:sz="0" w:space="0" w:color="auto"/>
        <w:right w:val="none" w:sz="0" w:space="0" w:color="auto"/>
      </w:divBdr>
    </w:div>
    <w:div w:id="19741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0099-FF94-4132-ABCA-5C5FFA3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2448</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Fernando Geraldo Faria Roque</cp:lastModifiedBy>
  <cp:revision>27</cp:revision>
  <cp:lastPrinted>2025-05-28T14:52:00Z</cp:lastPrinted>
  <dcterms:created xsi:type="dcterms:W3CDTF">2025-05-23T14:01:00Z</dcterms:created>
  <dcterms:modified xsi:type="dcterms:W3CDTF">2025-05-28T15:10:00Z</dcterms:modified>
</cp:coreProperties>
</file>