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3CEC" w14:textId="77777777" w:rsidR="00EB6A4D" w:rsidRPr="00165EA0" w:rsidRDefault="00EB6A4D" w:rsidP="00EB6A4D">
      <w:pPr>
        <w:rPr>
          <w:rFonts w:ascii="Verdana" w:hAnsi="Verdana" w:cs="Times New Roman"/>
          <w:sz w:val="18"/>
          <w:szCs w:val="18"/>
        </w:rPr>
      </w:pPr>
    </w:p>
    <w:p w14:paraId="15D1943F" w14:textId="77777777" w:rsidR="00EB6A4D" w:rsidRDefault="00EB6A4D" w:rsidP="00EB6A4D">
      <w:pPr>
        <w:spacing w:line="360" w:lineRule="auto"/>
        <w:ind w:firstLine="20"/>
        <w:jc w:val="right"/>
        <w:rPr>
          <w:rFonts w:ascii="Verdana" w:hAnsi="Verdana" w:cs="Times New Roman"/>
          <w:sz w:val="18"/>
          <w:szCs w:val="18"/>
        </w:rPr>
      </w:pPr>
      <w:r w:rsidRPr="00165EA0">
        <w:rPr>
          <w:rFonts w:ascii="Verdana" w:hAnsi="Verdana" w:cs="Times New Roman"/>
          <w:sz w:val="18"/>
          <w:szCs w:val="18"/>
        </w:rPr>
        <w:t>Sete Lagoas</w:t>
      </w:r>
      <w:r>
        <w:rPr>
          <w:rFonts w:ascii="Verdana" w:hAnsi="Verdana" w:cs="Times New Roman"/>
          <w:sz w:val="18"/>
          <w:szCs w:val="18"/>
        </w:rPr>
        <w:t xml:space="preserve">, </w:t>
      </w:r>
      <w:r>
        <w:rPr>
          <w:rFonts w:ascii="Verdana" w:hAnsi="Verdana" w:cs="Times New Roman"/>
          <w:sz w:val="18"/>
          <w:szCs w:val="18"/>
        </w:rPr>
        <w:t>11 de junho</w:t>
      </w:r>
      <w:r>
        <w:rPr>
          <w:rFonts w:ascii="Verdana" w:hAnsi="Verdana" w:cs="Times New Roman"/>
          <w:sz w:val="18"/>
          <w:szCs w:val="18"/>
        </w:rPr>
        <w:t xml:space="preserve"> de 2024.</w:t>
      </w:r>
    </w:p>
    <w:p w14:paraId="4B4D2B90" w14:textId="1367F292" w:rsidR="00EB6A4D" w:rsidRPr="00165EA0" w:rsidRDefault="00EB6A4D" w:rsidP="00EB6A4D">
      <w:pPr>
        <w:spacing w:line="360" w:lineRule="auto"/>
        <w:ind w:firstLine="20"/>
        <w:jc w:val="right"/>
        <w:rPr>
          <w:rFonts w:ascii="Verdana" w:hAnsi="Verdana" w:cs="Times New Roman"/>
          <w:sz w:val="18"/>
          <w:szCs w:val="18"/>
        </w:rPr>
      </w:pPr>
      <w:r w:rsidRPr="00165EA0">
        <w:rPr>
          <w:rFonts w:ascii="Verdana" w:hAnsi="Verdana" w:cs="Times New Roman"/>
          <w:sz w:val="18"/>
          <w:szCs w:val="18"/>
        </w:rPr>
        <w:tab/>
      </w:r>
      <w:r w:rsidRPr="00165EA0">
        <w:rPr>
          <w:rFonts w:ascii="Verdana" w:hAnsi="Verdana" w:cs="Times New Roman"/>
          <w:sz w:val="18"/>
          <w:szCs w:val="18"/>
        </w:rPr>
        <w:tab/>
      </w:r>
      <w:r w:rsidRPr="00165EA0">
        <w:rPr>
          <w:rFonts w:ascii="Verdana" w:hAnsi="Verdana" w:cs="Times New Roman"/>
          <w:sz w:val="18"/>
          <w:szCs w:val="18"/>
        </w:rPr>
        <w:tab/>
      </w:r>
    </w:p>
    <w:p w14:paraId="6A8D14A4" w14:textId="77777777" w:rsidR="00EB6A4D" w:rsidRPr="00165EA0" w:rsidRDefault="00EB6A4D" w:rsidP="00EB6A4D">
      <w:pPr>
        <w:spacing w:line="360" w:lineRule="auto"/>
        <w:jc w:val="center"/>
        <w:rPr>
          <w:rFonts w:ascii="Verdana" w:hAnsi="Verdana" w:cs="Times New Roman"/>
          <w:b/>
          <w:sz w:val="20"/>
          <w:szCs w:val="20"/>
        </w:rPr>
      </w:pPr>
      <w:r w:rsidRPr="00165EA0">
        <w:rPr>
          <w:rFonts w:ascii="Verdana" w:hAnsi="Verdana" w:cs="Times New Roman"/>
          <w:b/>
          <w:sz w:val="20"/>
          <w:szCs w:val="20"/>
        </w:rPr>
        <w:t>PARECER JURÍDICO</w:t>
      </w:r>
    </w:p>
    <w:p w14:paraId="415DD5E8" w14:textId="77777777" w:rsidR="00EB6A4D" w:rsidRPr="00165EA0" w:rsidRDefault="00EB6A4D" w:rsidP="00EB6A4D">
      <w:pPr>
        <w:spacing w:line="360" w:lineRule="auto"/>
        <w:rPr>
          <w:rFonts w:ascii="Verdana" w:hAnsi="Verdana" w:cs="Times New Roman"/>
          <w:sz w:val="18"/>
          <w:szCs w:val="18"/>
        </w:rPr>
      </w:pPr>
    </w:p>
    <w:p w14:paraId="47E40890" w14:textId="55D1B0F7" w:rsidR="00EB6A4D" w:rsidRPr="00165EA0" w:rsidRDefault="00EB6A4D" w:rsidP="00EB6A4D">
      <w:pPr>
        <w:spacing w:line="360" w:lineRule="auto"/>
        <w:ind w:firstLine="851"/>
        <w:jc w:val="both"/>
        <w:rPr>
          <w:rFonts w:ascii="Verdana" w:hAnsi="Verdana" w:cs="Times New Roman"/>
          <w:i/>
          <w:iCs/>
          <w:sz w:val="18"/>
          <w:szCs w:val="18"/>
        </w:rPr>
      </w:pPr>
      <w:r w:rsidRPr="00165EA0">
        <w:rPr>
          <w:rFonts w:ascii="Verdana" w:hAnsi="Verdana" w:cs="Times New Roman"/>
          <w:b/>
          <w:sz w:val="18"/>
          <w:szCs w:val="18"/>
        </w:rPr>
        <w:t>Matéria</w:t>
      </w:r>
      <w:r w:rsidRPr="00165EA0">
        <w:rPr>
          <w:rFonts w:ascii="Verdana" w:hAnsi="Verdana" w:cs="Times New Roman"/>
          <w:sz w:val="18"/>
          <w:szCs w:val="18"/>
        </w:rPr>
        <w:t xml:space="preserve">: Projeto de Lei nº </w:t>
      </w:r>
      <w:r>
        <w:rPr>
          <w:rFonts w:ascii="Verdana" w:hAnsi="Verdana" w:cs="Times New Roman"/>
          <w:sz w:val="18"/>
          <w:szCs w:val="18"/>
        </w:rPr>
        <w:t>289</w:t>
      </w:r>
      <w:r>
        <w:rPr>
          <w:rFonts w:ascii="Verdana" w:hAnsi="Verdana" w:cs="Times New Roman"/>
          <w:sz w:val="18"/>
          <w:szCs w:val="18"/>
        </w:rPr>
        <w:t>/</w:t>
      </w:r>
      <w:r w:rsidRPr="00165EA0">
        <w:rPr>
          <w:rFonts w:ascii="Verdana" w:hAnsi="Verdana" w:cs="Times New Roman"/>
          <w:sz w:val="18"/>
          <w:szCs w:val="18"/>
        </w:rPr>
        <w:t>202</w:t>
      </w:r>
      <w:r>
        <w:rPr>
          <w:rFonts w:ascii="Verdana" w:hAnsi="Verdana" w:cs="Times New Roman"/>
          <w:sz w:val="18"/>
          <w:szCs w:val="18"/>
        </w:rPr>
        <w:t>4.</w:t>
      </w:r>
    </w:p>
    <w:p w14:paraId="122949A4" w14:textId="77777777" w:rsidR="00EB6A4D" w:rsidRPr="00165EA0" w:rsidRDefault="00EB6A4D" w:rsidP="00EB6A4D">
      <w:pPr>
        <w:spacing w:line="360" w:lineRule="auto"/>
        <w:ind w:firstLine="851"/>
        <w:jc w:val="both"/>
        <w:rPr>
          <w:rFonts w:ascii="Verdana" w:hAnsi="Verdana" w:cs="Times New Roman"/>
          <w:i/>
          <w:iCs/>
          <w:sz w:val="18"/>
          <w:szCs w:val="18"/>
        </w:rPr>
      </w:pPr>
    </w:p>
    <w:p w14:paraId="54FADD70" w14:textId="77777777" w:rsidR="00EB6A4D" w:rsidRPr="00165EA0" w:rsidRDefault="00EB6A4D" w:rsidP="00EB6A4D">
      <w:pPr>
        <w:pBdr>
          <w:bottom w:val="single" w:sz="12" w:space="1" w:color="auto"/>
        </w:pBdr>
        <w:spacing w:line="360" w:lineRule="auto"/>
        <w:ind w:firstLine="851"/>
        <w:jc w:val="both"/>
        <w:rPr>
          <w:rFonts w:ascii="Verdana" w:hAnsi="Verdana" w:cs="Times New Roman"/>
          <w:sz w:val="18"/>
          <w:szCs w:val="18"/>
        </w:rPr>
      </w:pPr>
      <w:r w:rsidRPr="00165EA0">
        <w:rPr>
          <w:rFonts w:ascii="Verdana" w:hAnsi="Verdana" w:cs="Times New Roman"/>
          <w:b/>
          <w:sz w:val="18"/>
          <w:szCs w:val="18"/>
        </w:rPr>
        <w:t>Autoria:</w:t>
      </w:r>
      <w:r w:rsidRPr="00165EA0">
        <w:rPr>
          <w:rFonts w:ascii="Verdana" w:hAnsi="Verdana" w:cs="Times New Roman"/>
          <w:sz w:val="18"/>
          <w:szCs w:val="18"/>
        </w:rPr>
        <w:t xml:space="preserve"> Exmo. Vereador </w:t>
      </w:r>
      <w:r>
        <w:rPr>
          <w:rFonts w:ascii="Verdana" w:hAnsi="Verdana" w:cs="Times New Roman"/>
          <w:sz w:val="18"/>
          <w:szCs w:val="18"/>
        </w:rPr>
        <w:t>Rodrigo Braga da Rocha.</w:t>
      </w:r>
    </w:p>
    <w:p w14:paraId="370DE8C1" w14:textId="77777777" w:rsidR="00EB6A4D" w:rsidRPr="00165EA0" w:rsidRDefault="00EB6A4D" w:rsidP="00EB6A4D">
      <w:pPr>
        <w:pBdr>
          <w:bottom w:val="single" w:sz="12" w:space="1" w:color="auto"/>
        </w:pBdr>
        <w:spacing w:line="360" w:lineRule="auto"/>
        <w:jc w:val="both"/>
        <w:rPr>
          <w:rFonts w:ascii="Verdana" w:hAnsi="Verdana" w:cs="Times New Roman"/>
          <w:sz w:val="18"/>
          <w:szCs w:val="18"/>
        </w:rPr>
      </w:pPr>
    </w:p>
    <w:p w14:paraId="2BA71080" w14:textId="77777777" w:rsidR="00EB6A4D" w:rsidRPr="00165EA0" w:rsidRDefault="00EB6A4D" w:rsidP="00EB6A4D">
      <w:pPr>
        <w:spacing w:line="360" w:lineRule="auto"/>
        <w:jc w:val="both"/>
        <w:rPr>
          <w:rFonts w:ascii="Verdana" w:eastAsia="Times New Roman" w:hAnsi="Verdana" w:cs="Times New Roman"/>
          <w:b/>
          <w:kern w:val="1"/>
          <w:sz w:val="18"/>
          <w:szCs w:val="18"/>
          <w:lang w:val="pt-PT"/>
        </w:rPr>
      </w:pPr>
    </w:p>
    <w:p w14:paraId="4330D6EA" w14:textId="77777777" w:rsidR="00EB6A4D" w:rsidRPr="00165EA0" w:rsidRDefault="00EB6A4D" w:rsidP="00EB6A4D">
      <w:pPr>
        <w:pStyle w:val="PargrafodaLista"/>
        <w:numPr>
          <w:ilvl w:val="0"/>
          <w:numId w:val="1"/>
        </w:numPr>
        <w:spacing w:line="360" w:lineRule="auto"/>
        <w:jc w:val="both"/>
        <w:rPr>
          <w:rFonts w:ascii="Verdana" w:hAnsi="Verdana"/>
          <w:b/>
          <w:sz w:val="18"/>
          <w:szCs w:val="18"/>
        </w:rPr>
      </w:pPr>
      <w:r w:rsidRPr="00165EA0">
        <w:rPr>
          <w:rFonts w:ascii="Verdana" w:hAnsi="Verdana"/>
          <w:b/>
          <w:sz w:val="18"/>
          <w:szCs w:val="18"/>
        </w:rPr>
        <w:t>RELATÓRIO</w:t>
      </w:r>
    </w:p>
    <w:p w14:paraId="43B1B5BC" w14:textId="77777777" w:rsidR="00EB6A4D" w:rsidRPr="00165EA0" w:rsidRDefault="00EB6A4D" w:rsidP="00EB6A4D">
      <w:pPr>
        <w:spacing w:line="360" w:lineRule="auto"/>
        <w:jc w:val="both"/>
        <w:rPr>
          <w:rFonts w:ascii="Verdana" w:hAnsi="Verdana"/>
          <w:sz w:val="18"/>
          <w:szCs w:val="18"/>
        </w:rPr>
      </w:pPr>
    </w:p>
    <w:p w14:paraId="1395C843" w14:textId="77777777" w:rsidR="00EB6A4D" w:rsidRPr="00165EA0" w:rsidRDefault="00EB6A4D" w:rsidP="00EB6A4D">
      <w:pPr>
        <w:ind w:firstLine="2268"/>
        <w:jc w:val="both"/>
        <w:rPr>
          <w:rFonts w:ascii="Verdana" w:hAnsi="Verdana" w:cs="Times New Roman"/>
          <w:sz w:val="18"/>
          <w:szCs w:val="18"/>
        </w:rPr>
      </w:pPr>
    </w:p>
    <w:p w14:paraId="74307972"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 xml:space="preserve">Encontra-se nesta Procuradoria, para análise e parecer, a proposição epigrafada, de iniciativa do Vereador </w:t>
      </w:r>
      <w:r>
        <w:rPr>
          <w:rFonts w:ascii="Verdana" w:hAnsi="Verdana" w:cs="Times New Roman"/>
          <w:sz w:val="18"/>
          <w:szCs w:val="18"/>
        </w:rPr>
        <w:t>Rodrigo Braga.</w:t>
      </w:r>
    </w:p>
    <w:p w14:paraId="02AFF2B8" w14:textId="77777777" w:rsidR="00EB6A4D" w:rsidRPr="00165EA0" w:rsidRDefault="00EB6A4D" w:rsidP="00EB6A4D">
      <w:pPr>
        <w:spacing w:line="360" w:lineRule="auto"/>
        <w:ind w:firstLine="851"/>
        <w:jc w:val="both"/>
        <w:rPr>
          <w:rFonts w:ascii="Verdana" w:hAnsi="Verdana" w:cs="Times New Roman"/>
          <w:sz w:val="18"/>
          <w:szCs w:val="18"/>
        </w:rPr>
      </w:pPr>
    </w:p>
    <w:p w14:paraId="32FF2A54" w14:textId="1DB12A63" w:rsidR="00EB6A4D" w:rsidRPr="00165EA0" w:rsidRDefault="00EB6A4D" w:rsidP="00EB6A4D">
      <w:pPr>
        <w:spacing w:line="360" w:lineRule="auto"/>
        <w:ind w:firstLine="851"/>
        <w:jc w:val="both"/>
        <w:rPr>
          <w:rFonts w:ascii="Verdana" w:hAnsi="Verdana" w:cs="Times New Roman"/>
          <w:i/>
          <w:iCs/>
          <w:sz w:val="18"/>
          <w:szCs w:val="18"/>
        </w:rPr>
      </w:pPr>
      <w:r w:rsidRPr="00165EA0">
        <w:rPr>
          <w:rFonts w:ascii="Verdana" w:hAnsi="Verdana" w:cs="Times New Roman"/>
          <w:sz w:val="18"/>
          <w:szCs w:val="18"/>
        </w:rPr>
        <w:t>Por meio da mencionada propositura, visa o signatário dispor sobre a</w:t>
      </w:r>
      <w:r w:rsidRPr="00165EA0">
        <w:rPr>
          <w:rFonts w:ascii="Verdana" w:hAnsi="Verdana" w:cs="Times New Roman"/>
          <w:i/>
          <w:iCs/>
          <w:sz w:val="18"/>
          <w:szCs w:val="18"/>
        </w:rPr>
        <w:t xml:space="preserve"> “fixação </w:t>
      </w:r>
      <w:r>
        <w:rPr>
          <w:rFonts w:ascii="Verdana" w:hAnsi="Verdana" w:cs="Times New Roman"/>
          <w:i/>
          <w:iCs/>
          <w:sz w:val="18"/>
          <w:szCs w:val="18"/>
        </w:rPr>
        <w:t xml:space="preserve">e distribuição de informativos conscientizadores </w:t>
      </w:r>
      <w:r>
        <w:rPr>
          <w:rFonts w:ascii="Verdana" w:hAnsi="Verdana" w:cs="Times New Roman"/>
          <w:i/>
          <w:iCs/>
          <w:sz w:val="18"/>
          <w:szCs w:val="18"/>
        </w:rPr>
        <w:t>da proibição do uso do trabalho infantil, dispondo sobre o incentivo à denúncia no âmbito municipal e dá outras providências”.</w:t>
      </w:r>
    </w:p>
    <w:p w14:paraId="020795D0" w14:textId="77777777" w:rsidR="00EB6A4D" w:rsidRPr="00165EA0" w:rsidRDefault="00EB6A4D" w:rsidP="00EB6A4D">
      <w:pPr>
        <w:jc w:val="both"/>
        <w:rPr>
          <w:rFonts w:ascii="Verdana" w:hAnsi="Verdana" w:cs="Times New Roman"/>
          <w:sz w:val="18"/>
          <w:szCs w:val="18"/>
        </w:rPr>
      </w:pPr>
    </w:p>
    <w:p w14:paraId="780B0701"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Em síntese, esse é o Projeto de Lei.</w:t>
      </w:r>
    </w:p>
    <w:p w14:paraId="5A18A547" w14:textId="77777777" w:rsidR="00EB6A4D" w:rsidRPr="00165EA0" w:rsidRDefault="00EB6A4D" w:rsidP="00EB6A4D">
      <w:pPr>
        <w:spacing w:line="360" w:lineRule="auto"/>
        <w:ind w:firstLine="851"/>
        <w:jc w:val="both"/>
        <w:rPr>
          <w:rFonts w:ascii="Verdana" w:hAnsi="Verdana" w:cs="Times New Roman"/>
          <w:sz w:val="18"/>
          <w:szCs w:val="18"/>
        </w:rPr>
      </w:pPr>
    </w:p>
    <w:p w14:paraId="7E89858E" w14:textId="77777777" w:rsidR="00EB6A4D" w:rsidRPr="00165EA0" w:rsidRDefault="00EB6A4D" w:rsidP="00EB6A4D">
      <w:pPr>
        <w:ind w:firstLine="2268"/>
        <w:jc w:val="both"/>
        <w:rPr>
          <w:rFonts w:ascii="Verdana" w:hAnsi="Verdana" w:cs="Times New Roman"/>
          <w:sz w:val="18"/>
          <w:szCs w:val="18"/>
        </w:rPr>
      </w:pPr>
    </w:p>
    <w:p w14:paraId="7CD5A6F2" w14:textId="77777777" w:rsidR="00EB6A4D" w:rsidRPr="00165EA0" w:rsidRDefault="00EB6A4D" w:rsidP="00EB6A4D">
      <w:pPr>
        <w:pStyle w:val="PargrafodaLista"/>
        <w:numPr>
          <w:ilvl w:val="0"/>
          <w:numId w:val="1"/>
        </w:numPr>
        <w:spacing w:line="360" w:lineRule="auto"/>
        <w:jc w:val="both"/>
        <w:rPr>
          <w:rFonts w:ascii="Verdana" w:eastAsia="Times New Roman" w:hAnsi="Verdana"/>
          <w:b/>
          <w:sz w:val="18"/>
          <w:szCs w:val="18"/>
        </w:rPr>
      </w:pPr>
      <w:r w:rsidRPr="00165EA0">
        <w:rPr>
          <w:rFonts w:ascii="Verdana" w:eastAsia="Times New Roman" w:hAnsi="Verdana"/>
          <w:b/>
          <w:sz w:val="18"/>
          <w:szCs w:val="18"/>
        </w:rPr>
        <w:t>CONSIDERAÇÕES INICIAIS</w:t>
      </w:r>
    </w:p>
    <w:p w14:paraId="2B72969D" w14:textId="77777777" w:rsidR="00EB6A4D" w:rsidRPr="00165EA0" w:rsidRDefault="00EB6A4D" w:rsidP="00EB6A4D">
      <w:pPr>
        <w:ind w:firstLine="2268"/>
        <w:jc w:val="both"/>
        <w:rPr>
          <w:rFonts w:ascii="Verdana" w:eastAsia="Times New Roman" w:hAnsi="Verdana" w:cs="Times New Roman"/>
          <w:b/>
          <w:sz w:val="18"/>
          <w:szCs w:val="18"/>
        </w:rPr>
      </w:pPr>
    </w:p>
    <w:p w14:paraId="6608D2E2" w14:textId="77777777" w:rsidR="00EB6A4D" w:rsidRPr="00165EA0" w:rsidRDefault="00EB6A4D" w:rsidP="00EB6A4D">
      <w:pPr>
        <w:spacing w:line="360" w:lineRule="auto"/>
        <w:ind w:firstLine="851"/>
        <w:jc w:val="both"/>
        <w:rPr>
          <w:rFonts w:ascii="Verdana" w:eastAsia="Times New Roman" w:hAnsi="Verdana" w:cs="Times New Roman"/>
          <w:sz w:val="18"/>
          <w:szCs w:val="18"/>
        </w:rPr>
      </w:pPr>
      <w:r w:rsidRPr="00165EA0">
        <w:rPr>
          <w:rFonts w:ascii="Verdana" w:eastAsia="Times New Roman" w:hAnsi="Verdana" w:cs="Times New Roman"/>
          <w:sz w:val="18"/>
          <w:szCs w:val="18"/>
        </w:rPr>
        <w:t xml:space="preserve">Inicialmente, importante destacar que o exame da Procuradoria Jurídica </w:t>
      </w:r>
      <w:proofErr w:type="gramStart"/>
      <w:r w:rsidRPr="00165EA0">
        <w:rPr>
          <w:rFonts w:ascii="Verdana" w:eastAsia="Times New Roman" w:hAnsi="Verdana" w:cs="Times New Roman"/>
          <w:sz w:val="18"/>
          <w:szCs w:val="18"/>
        </w:rPr>
        <w:t>cinge-se</w:t>
      </w:r>
      <w:proofErr w:type="gramEnd"/>
      <w:r w:rsidRPr="00165EA0">
        <w:rPr>
          <w:rFonts w:ascii="Verdana" w:eastAsia="Times New Roman" w:hAnsi="Verdana" w:cs="Times New Roman"/>
          <w:sz w:val="18"/>
          <w:szCs w:val="18"/>
        </w:rPr>
        <w:t xml:space="preserv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p>
    <w:p w14:paraId="7B8F1DBC" w14:textId="77777777" w:rsidR="00EB6A4D" w:rsidRPr="00165EA0" w:rsidRDefault="00EB6A4D" w:rsidP="00EB6A4D">
      <w:pPr>
        <w:spacing w:line="360" w:lineRule="auto"/>
        <w:ind w:firstLine="851"/>
        <w:jc w:val="both"/>
        <w:rPr>
          <w:rFonts w:ascii="Verdana" w:eastAsia="Times New Roman" w:hAnsi="Verdana" w:cs="Times New Roman"/>
          <w:sz w:val="18"/>
          <w:szCs w:val="18"/>
        </w:rPr>
      </w:pPr>
    </w:p>
    <w:p w14:paraId="3C74BC3E" w14:textId="77777777" w:rsidR="00EB6A4D" w:rsidRPr="00165EA0" w:rsidRDefault="00EB6A4D" w:rsidP="00EB6A4D">
      <w:pPr>
        <w:spacing w:line="360" w:lineRule="auto"/>
        <w:ind w:firstLine="851"/>
        <w:jc w:val="both"/>
        <w:rPr>
          <w:rFonts w:ascii="Verdana" w:eastAsia="Times New Roman" w:hAnsi="Verdana" w:cs="Times New Roman"/>
          <w:sz w:val="18"/>
          <w:szCs w:val="18"/>
        </w:rPr>
      </w:pPr>
      <w:r w:rsidRPr="00165EA0">
        <w:rPr>
          <w:rFonts w:ascii="Verdana" w:eastAsia="Times New Roman" w:hAnsi="Verdana" w:cs="Times New Roman"/>
          <w:sz w:val="18"/>
          <w:szCs w:val="18"/>
        </w:rPr>
        <w:lastRenderedPageBreak/>
        <w:t xml:space="preserve">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6566759B" w14:textId="77777777" w:rsidR="00EB6A4D" w:rsidRPr="00165EA0" w:rsidRDefault="00EB6A4D" w:rsidP="00EB6A4D">
      <w:pPr>
        <w:spacing w:line="360" w:lineRule="auto"/>
        <w:ind w:firstLine="851"/>
        <w:jc w:val="both"/>
        <w:rPr>
          <w:rFonts w:ascii="Verdana" w:eastAsia="Times New Roman" w:hAnsi="Verdana" w:cs="Times New Roman"/>
          <w:sz w:val="18"/>
          <w:szCs w:val="18"/>
        </w:rPr>
      </w:pPr>
    </w:p>
    <w:p w14:paraId="26BAA868" w14:textId="77777777" w:rsidR="00EB6A4D" w:rsidRPr="00165EA0" w:rsidRDefault="00EB6A4D" w:rsidP="00EB6A4D">
      <w:pPr>
        <w:spacing w:line="360" w:lineRule="auto"/>
        <w:ind w:firstLine="851"/>
        <w:jc w:val="both"/>
        <w:rPr>
          <w:rFonts w:ascii="Verdana" w:eastAsia="Times New Roman" w:hAnsi="Verdana" w:cs="Times New Roman"/>
          <w:sz w:val="18"/>
          <w:szCs w:val="18"/>
        </w:rPr>
      </w:pPr>
      <w:r w:rsidRPr="00165EA0">
        <w:rPr>
          <w:rFonts w:ascii="Verdana" w:eastAsia="Times New Roman" w:hAnsi="Verdana" w:cs="Times New Roman"/>
          <w:sz w:val="18"/>
          <w:szCs w:val="18"/>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14:paraId="61DB633D" w14:textId="77777777" w:rsidR="00EB6A4D" w:rsidRPr="00165EA0" w:rsidRDefault="00EB6A4D" w:rsidP="00EB6A4D">
      <w:pPr>
        <w:spacing w:line="360" w:lineRule="auto"/>
        <w:ind w:firstLine="851"/>
        <w:jc w:val="both"/>
        <w:rPr>
          <w:rFonts w:ascii="Verdana" w:eastAsia="Times New Roman" w:hAnsi="Verdana" w:cs="Times New Roman"/>
          <w:sz w:val="18"/>
          <w:szCs w:val="18"/>
        </w:rPr>
      </w:pPr>
    </w:p>
    <w:p w14:paraId="387B039C" w14:textId="77777777" w:rsidR="00EB6A4D" w:rsidRPr="00165EA0" w:rsidRDefault="00EB6A4D" w:rsidP="00EB6A4D">
      <w:pPr>
        <w:spacing w:line="360" w:lineRule="auto"/>
        <w:ind w:firstLine="851"/>
        <w:jc w:val="both"/>
        <w:rPr>
          <w:rFonts w:ascii="Verdana" w:eastAsia="Times New Roman" w:hAnsi="Verdana" w:cs="Times New Roman"/>
          <w:sz w:val="18"/>
          <w:szCs w:val="18"/>
        </w:rPr>
      </w:pPr>
      <w:r w:rsidRPr="00165EA0">
        <w:rPr>
          <w:rFonts w:ascii="Verdana" w:eastAsia="Times New Roman" w:hAnsi="Verdana" w:cs="Times New Roman"/>
          <w:sz w:val="18"/>
          <w:szCs w:val="18"/>
        </w:rPr>
        <w:t>Diante desses esclarecimentos passamos a opinar sobre a matéria apresentada.</w:t>
      </w:r>
    </w:p>
    <w:p w14:paraId="62465974" w14:textId="77777777" w:rsidR="00EB6A4D" w:rsidRPr="00165EA0" w:rsidRDefault="00EB6A4D" w:rsidP="00EB6A4D">
      <w:pPr>
        <w:ind w:firstLine="2268"/>
        <w:jc w:val="both"/>
        <w:rPr>
          <w:rFonts w:ascii="Verdana" w:eastAsia="Times New Roman" w:hAnsi="Verdana" w:cs="Times New Roman"/>
          <w:sz w:val="18"/>
          <w:szCs w:val="18"/>
        </w:rPr>
      </w:pPr>
    </w:p>
    <w:p w14:paraId="3FE2928E" w14:textId="77777777" w:rsidR="00EB6A4D" w:rsidRPr="00165EA0" w:rsidRDefault="00EB6A4D" w:rsidP="00EB6A4D">
      <w:pPr>
        <w:ind w:firstLine="2268"/>
        <w:jc w:val="both"/>
        <w:rPr>
          <w:rFonts w:ascii="Verdana" w:eastAsia="Times New Roman" w:hAnsi="Verdana" w:cs="Times New Roman"/>
          <w:sz w:val="18"/>
          <w:szCs w:val="18"/>
        </w:rPr>
      </w:pPr>
    </w:p>
    <w:p w14:paraId="721D1C23" w14:textId="77777777" w:rsidR="00EB6A4D" w:rsidRPr="00165EA0" w:rsidRDefault="00EB6A4D" w:rsidP="00EB6A4D">
      <w:pPr>
        <w:pStyle w:val="PargrafodaLista"/>
        <w:numPr>
          <w:ilvl w:val="0"/>
          <w:numId w:val="1"/>
        </w:numPr>
        <w:spacing w:line="360" w:lineRule="auto"/>
        <w:jc w:val="both"/>
        <w:rPr>
          <w:rFonts w:ascii="Verdana" w:eastAsia="Times New Roman" w:hAnsi="Verdana"/>
          <w:b/>
          <w:sz w:val="18"/>
          <w:szCs w:val="18"/>
        </w:rPr>
      </w:pPr>
      <w:r w:rsidRPr="00165EA0">
        <w:rPr>
          <w:rFonts w:ascii="Verdana" w:eastAsia="Times New Roman" w:hAnsi="Verdana"/>
          <w:b/>
          <w:sz w:val="18"/>
          <w:szCs w:val="18"/>
        </w:rPr>
        <w:t xml:space="preserve">ANÁLISE DO PROJETO </w:t>
      </w:r>
    </w:p>
    <w:p w14:paraId="61CD60A6" w14:textId="77777777" w:rsidR="00EB6A4D" w:rsidRPr="00165EA0" w:rsidRDefault="00EB6A4D" w:rsidP="00EB6A4D">
      <w:pPr>
        <w:pStyle w:val="PargrafodaLista"/>
        <w:spacing w:line="360" w:lineRule="auto"/>
        <w:ind w:left="1560"/>
        <w:jc w:val="both"/>
        <w:rPr>
          <w:rFonts w:ascii="Verdana" w:eastAsia="Times New Roman" w:hAnsi="Verdana"/>
          <w:b/>
          <w:sz w:val="18"/>
          <w:szCs w:val="18"/>
        </w:rPr>
      </w:pPr>
    </w:p>
    <w:p w14:paraId="1F01BCEA" w14:textId="60BE4EDF" w:rsidR="00EB6A4D"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 xml:space="preserve">Trata-se de relatório para análise de constitucionalidade, legalidade e </w:t>
      </w:r>
      <w:proofErr w:type="spellStart"/>
      <w:r w:rsidRPr="00165EA0">
        <w:rPr>
          <w:rFonts w:ascii="Verdana" w:hAnsi="Verdana" w:cs="Times New Roman"/>
          <w:sz w:val="18"/>
          <w:szCs w:val="18"/>
        </w:rPr>
        <w:t>juridicialidade</w:t>
      </w:r>
      <w:proofErr w:type="spellEnd"/>
      <w:r w:rsidRPr="00165EA0">
        <w:rPr>
          <w:rFonts w:ascii="Verdana" w:hAnsi="Verdana" w:cs="Times New Roman"/>
          <w:sz w:val="18"/>
          <w:szCs w:val="18"/>
        </w:rPr>
        <w:t xml:space="preserve"> do Projeto de Lei nº </w:t>
      </w:r>
      <w:r>
        <w:rPr>
          <w:rFonts w:ascii="Verdana" w:hAnsi="Verdana" w:cs="Times New Roman"/>
          <w:sz w:val="18"/>
          <w:szCs w:val="18"/>
        </w:rPr>
        <w:t>289</w:t>
      </w:r>
      <w:r w:rsidRPr="00165EA0">
        <w:rPr>
          <w:rFonts w:ascii="Verdana" w:hAnsi="Verdana" w:cs="Times New Roman"/>
          <w:sz w:val="18"/>
          <w:szCs w:val="18"/>
        </w:rPr>
        <w:t>/202</w:t>
      </w:r>
      <w:r>
        <w:rPr>
          <w:rFonts w:ascii="Verdana" w:hAnsi="Verdana" w:cs="Times New Roman"/>
          <w:sz w:val="18"/>
          <w:szCs w:val="18"/>
        </w:rPr>
        <w:t>4</w:t>
      </w:r>
      <w:r w:rsidRPr="00165EA0">
        <w:rPr>
          <w:rFonts w:ascii="Verdana" w:hAnsi="Verdana" w:cs="Times New Roman"/>
          <w:sz w:val="18"/>
          <w:szCs w:val="18"/>
        </w:rPr>
        <w:t xml:space="preserve">, </w:t>
      </w:r>
      <w:r>
        <w:rPr>
          <w:rFonts w:ascii="Verdana" w:hAnsi="Verdana" w:cs="Times New Roman"/>
          <w:sz w:val="18"/>
          <w:szCs w:val="18"/>
        </w:rPr>
        <w:t>conforme “relatório”.</w:t>
      </w:r>
    </w:p>
    <w:p w14:paraId="20B9131C" w14:textId="77777777" w:rsidR="00EB6A4D" w:rsidRPr="00165EA0" w:rsidRDefault="00EB6A4D" w:rsidP="00EB6A4D">
      <w:pPr>
        <w:spacing w:line="360" w:lineRule="auto"/>
        <w:ind w:firstLine="851"/>
        <w:jc w:val="both"/>
        <w:rPr>
          <w:rFonts w:ascii="Verdana" w:hAnsi="Verdana" w:cs="Times New Roman"/>
          <w:sz w:val="18"/>
          <w:szCs w:val="18"/>
        </w:rPr>
      </w:pPr>
    </w:p>
    <w:p w14:paraId="771ED230" w14:textId="77777777" w:rsidR="00EB6A4D" w:rsidRPr="00165EA0" w:rsidRDefault="00EB6A4D" w:rsidP="00EB6A4D">
      <w:pPr>
        <w:jc w:val="both"/>
        <w:rPr>
          <w:rFonts w:ascii="Verdana" w:hAnsi="Verdana" w:cs="Times New Roman"/>
          <w:sz w:val="18"/>
          <w:szCs w:val="18"/>
        </w:rPr>
      </w:pPr>
    </w:p>
    <w:p w14:paraId="74728467" w14:textId="77777777" w:rsidR="00EB6A4D" w:rsidRPr="00165EA0" w:rsidRDefault="00EB6A4D" w:rsidP="00EB6A4D">
      <w:pPr>
        <w:pStyle w:val="PargrafodaLista"/>
        <w:numPr>
          <w:ilvl w:val="0"/>
          <w:numId w:val="1"/>
        </w:numPr>
        <w:spacing w:line="360" w:lineRule="auto"/>
        <w:jc w:val="both"/>
        <w:rPr>
          <w:rFonts w:ascii="Verdana" w:eastAsia="Times New Roman" w:hAnsi="Verdana"/>
          <w:b/>
          <w:sz w:val="18"/>
          <w:szCs w:val="18"/>
        </w:rPr>
      </w:pPr>
      <w:r w:rsidRPr="00165EA0">
        <w:rPr>
          <w:rFonts w:ascii="Verdana" w:eastAsia="Times New Roman" w:hAnsi="Verdana"/>
          <w:b/>
          <w:sz w:val="18"/>
          <w:szCs w:val="18"/>
        </w:rPr>
        <w:t>COMPETÊNCIA LEGISLATIVA</w:t>
      </w:r>
    </w:p>
    <w:p w14:paraId="684E651E" w14:textId="77777777" w:rsidR="00EB6A4D" w:rsidRPr="00165EA0" w:rsidRDefault="00EB6A4D" w:rsidP="00EB6A4D">
      <w:pPr>
        <w:ind w:firstLine="2268"/>
        <w:jc w:val="both"/>
        <w:rPr>
          <w:rFonts w:ascii="Verdana" w:hAnsi="Verdana" w:cs="Times New Roman"/>
          <w:sz w:val="18"/>
          <w:szCs w:val="18"/>
        </w:rPr>
      </w:pPr>
    </w:p>
    <w:p w14:paraId="228A19ED" w14:textId="77777777" w:rsidR="00EB6A4D" w:rsidRPr="00C6008E" w:rsidRDefault="00EB6A4D" w:rsidP="00EB6A4D">
      <w:pPr>
        <w:spacing w:line="360" w:lineRule="auto"/>
        <w:ind w:firstLine="851"/>
        <w:jc w:val="both"/>
        <w:rPr>
          <w:rFonts w:ascii="Verdana" w:hAnsi="Verdana" w:cs="Arial"/>
          <w:color w:val="000000"/>
          <w:sz w:val="18"/>
          <w:szCs w:val="18"/>
          <w:shd w:val="clear" w:color="auto" w:fill="FFFFFF"/>
        </w:rPr>
      </w:pPr>
      <w:r w:rsidRPr="00C6008E">
        <w:rPr>
          <w:rFonts w:ascii="Verdana" w:hAnsi="Verdana" w:cs="Arial"/>
          <w:color w:val="000000"/>
          <w:sz w:val="18"/>
          <w:szCs w:val="18"/>
          <w:shd w:val="clear" w:color="auto" w:fill="FFFFFF"/>
        </w:rPr>
        <w:t xml:space="preserve">O artigo 18 da Constituição Federal de 1988, inaugurando o tema da organização do Estado, prevê que </w:t>
      </w:r>
      <w:r w:rsidRPr="00C6008E">
        <w:rPr>
          <w:rFonts w:ascii="Verdana" w:hAnsi="Verdana" w:cs="Arial"/>
          <w:i/>
          <w:iCs/>
          <w:color w:val="000000"/>
          <w:sz w:val="18"/>
          <w:szCs w:val="18"/>
          <w:shd w:val="clear" w:color="auto" w:fill="FFFFFF"/>
        </w:rPr>
        <w:t>“A organização político-administrativa da República Federativa do Brasil compreende a União, os Estados, o Distrito Federal e os Municípios, </w:t>
      </w:r>
      <w:r w:rsidRPr="00C6008E">
        <w:rPr>
          <w:rStyle w:val="Forte"/>
          <w:rFonts w:ascii="Verdana" w:hAnsi="Verdana" w:cs="Arial"/>
          <w:i/>
          <w:iCs/>
          <w:color w:val="000000"/>
          <w:sz w:val="18"/>
          <w:szCs w:val="18"/>
          <w:shd w:val="clear" w:color="auto" w:fill="FFFFFF"/>
        </w:rPr>
        <w:t>todos autônomos</w:t>
      </w:r>
      <w:r w:rsidRPr="00C6008E">
        <w:rPr>
          <w:rFonts w:ascii="Verdana" w:hAnsi="Verdana" w:cs="Arial"/>
          <w:i/>
          <w:iCs/>
          <w:color w:val="000000"/>
          <w:sz w:val="18"/>
          <w:szCs w:val="18"/>
          <w:shd w:val="clear" w:color="auto" w:fill="FFFFFF"/>
        </w:rPr>
        <w:t>, nos termos desta Constituição.” O termo “autonomia política”,</w:t>
      </w:r>
      <w:r w:rsidRPr="00C6008E">
        <w:rPr>
          <w:rFonts w:ascii="Verdana" w:hAnsi="Verdana" w:cs="Arial"/>
          <w:color w:val="000000"/>
          <w:sz w:val="18"/>
          <w:szCs w:val="18"/>
          <w:shd w:val="clear" w:color="auto" w:fill="FFFFFF"/>
        </w:rPr>
        <w:t xml:space="preserve"> sob o ponto de vista jurídico, congrega um conjunto de capacidades conferidas aos entes federados para instituir a sua organização, legislação, administração e governo próprios. A auto-organização dos Municípios, por sua vez, está disciplinada no artigo 29, </w:t>
      </w:r>
      <w:r w:rsidRPr="00C6008E">
        <w:rPr>
          <w:rFonts w:ascii="Verdana" w:hAnsi="Verdana" w:cs="Arial"/>
          <w:i/>
          <w:iCs/>
          <w:color w:val="000000"/>
          <w:sz w:val="18"/>
          <w:szCs w:val="18"/>
          <w:shd w:val="clear" w:color="auto" w:fill="FFFFFF"/>
        </w:rPr>
        <w:t xml:space="preserve">caput, </w:t>
      </w:r>
      <w:r w:rsidRPr="00C6008E">
        <w:rPr>
          <w:rFonts w:ascii="Verdana" w:hAnsi="Verdana" w:cs="Arial"/>
          <w:color w:val="000000"/>
          <w:sz w:val="18"/>
          <w:szCs w:val="18"/>
          <w:shd w:val="clear" w:color="auto" w:fill="FFFFFF"/>
        </w:rPr>
        <w:t>da Constituição Federal.</w:t>
      </w:r>
    </w:p>
    <w:p w14:paraId="27114D66" w14:textId="77777777" w:rsidR="00EB6A4D" w:rsidRPr="00165EA0" w:rsidRDefault="00EB6A4D" w:rsidP="00EB6A4D">
      <w:pPr>
        <w:spacing w:line="360" w:lineRule="auto"/>
        <w:ind w:firstLine="851"/>
        <w:jc w:val="both"/>
        <w:rPr>
          <w:rFonts w:ascii="Verdana" w:hAnsi="Verdana" w:cs="Times New Roman"/>
          <w:sz w:val="18"/>
          <w:szCs w:val="18"/>
        </w:rPr>
      </w:pPr>
    </w:p>
    <w:p w14:paraId="5DD313A6" w14:textId="77777777" w:rsidR="00EB6A4D"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Desta feita, o artigo 30, I da Constituição Federal nos ensina que compete ao Município legislar sobre assuntos de interesse local.</w:t>
      </w:r>
    </w:p>
    <w:p w14:paraId="05A5C018" w14:textId="77777777" w:rsidR="00EB6A4D" w:rsidRDefault="00EB6A4D" w:rsidP="00EB6A4D">
      <w:pPr>
        <w:spacing w:line="360" w:lineRule="auto"/>
        <w:ind w:firstLine="851"/>
        <w:jc w:val="both"/>
        <w:rPr>
          <w:rFonts w:ascii="Verdana" w:hAnsi="Verdana" w:cs="Times New Roman"/>
          <w:sz w:val="18"/>
          <w:szCs w:val="18"/>
        </w:rPr>
      </w:pPr>
    </w:p>
    <w:p w14:paraId="42C704B4" w14:textId="4BD1308F" w:rsidR="00EB6A4D" w:rsidRDefault="00EB6A4D" w:rsidP="00EB6A4D">
      <w:pPr>
        <w:spacing w:line="360" w:lineRule="auto"/>
        <w:ind w:firstLine="851"/>
        <w:jc w:val="both"/>
        <w:rPr>
          <w:rFonts w:ascii="Verdana" w:hAnsi="Verdana" w:cs="Times New Roman"/>
          <w:sz w:val="18"/>
          <w:szCs w:val="18"/>
        </w:rPr>
      </w:pPr>
      <w:r>
        <w:rPr>
          <w:rFonts w:ascii="Verdana" w:hAnsi="Verdana" w:cs="Times New Roman"/>
          <w:sz w:val="18"/>
          <w:szCs w:val="18"/>
        </w:rPr>
        <w:lastRenderedPageBreak/>
        <w:t xml:space="preserve">A matéria, </w:t>
      </w:r>
      <w:proofErr w:type="spellStart"/>
      <w:r>
        <w:rPr>
          <w:rFonts w:ascii="Verdana" w:hAnsi="Verdana" w:cs="Times New Roman"/>
          <w:i/>
          <w:iCs/>
          <w:sz w:val="18"/>
          <w:szCs w:val="18"/>
        </w:rPr>
        <w:t>venia</w:t>
      </w:r>
      <w:proofErr w:type="spellEnd"/>
      <w:r>
        <w:rPr>
          <w:rFonts w:ascii="Verdana" w:hAnsi="Verdana" w:cs="Times New Roman"/>
          <w:i/>
          <w:iCs/>
          <w:sz w:val="18"/>
          <w:szCs w:val="18"/>
        </w:rPr>
        <w:t xml:space="preserve"> permissa, </w:t>
      </w:r>
      <w:r>
        <w:rPr>
          <w:rFonts w:ascii="Verdana" w:hAnsi="Verdana" w:cs="Times New Roman"/>
          <w:sz w:val="18"/>
          <w:szCs w:val="18"/>
        </w:rPr>
        <w:t>é de natureza legislativa, eis que tem por intuito afixar cartazes nas repartições públicas municipais tem por objetivo a conscientização da população, bem como dos próprios servidores ao combate ao</w:t>
      </w:r>
      <w:r>
        <w:rPr>
          <w:rFonts w:ascii="Verdana" w:hAnsi="Verdana" w:cs="Times New Roman"/>
          <w:sz w:val="18"/>
          <w:szCs w:val="18"/>
        </w:rPr>
        <w:t xml:space="preserve"> trabalho infantil</w:t>
      </w:r>
      <w:r>
        <w:rPr>
          <w:rFonts w:ascii="Verdana" w:hAnsi="Verdana" w:cs="Times New Roman"/>
          <w:sz w:val="18"/>
          <w:szCs w:val="18"/>
        </w:rPr>
        <w:t xml:space="preserve">, já disposto </w:t>
      </w:r>
      <w:r>
        <w:rPr>
          <w:rFonts w:ascii="Verdana" w:hAnsi="Verdana" w:cs="Times New Roman"/>
          <w:sz w:val="18"/>
          <w:szCs w:val="18"/>
        </w:rPr>
        <w:t>no Estatuto da Criança e do Adolescente, em seu artigo 60.</w:t>
      </w:r>
    </w:p>
    <w:p w14:paraId="680C38C4" w14:textId="77777777" w:rsidR="00EB6A4D" w:rsidRDefault="00EB6A4D" w:rsidP="00EB6A4D">
      <w:pPr>
        <w:spacing w:line="360" w:lineRule="auto"/>
        <w:ind w:firstLine="851"/>
        <w:jc w:val="both"/>
        <w:rPr>
          <w:rFonts w:ascii="Verdana" w:hAnsi="Verdana" w:cs="Times New Roman"/>
          <w:sz w:val="18"/>
          <w:szCs w:val="18"/>
        </w:rPr>
      </w:pPr>
    </w:p>
    <w:p w14:paraId="37EAAD11" w14:textId="3340CE0B" w:rsidR="00EB6A4D" w:rsidRDefault="00EB6A4D" w:rsidP="00EB6A4D">
      <w:pPr>
        <w:spacing w:line="360" w:lineRule="auto"/>
        <w:ind w:firstLine="851"/>
        <w:jc w:val="both"/>
        <w:rPr>
          <w:rFonts w:ascii="Verdana" w:hAnsi="Verdana" w:cs="Times New Roman"/>
          <w:sz w:val="18"/>
          <w:szCs w:val="18"/>
        </w:rPr>
      </w:pPr>
      <w:r>
        <w:rPr>
          <w:rFonts w:ascii="Verdana" w:hAnsi="Verdana" w:cs="Times New Roman"/>
          <w:sz w:val="18"/>
          <w:szCs w:val="18"/>
        </w:rPr>
        <w:t xml:space="preserve">Trata-se, portanto, de iniciativa que encontra suporte no princípio da publicidade da Administração, uma das noções basilares para a construção de uma democracia sólida, na medida em que proporciona e motiva o acompanhamento e a fiscalização da </w:t>
      </w:r>
      <w:r>
        <w:rPr>
          <w:rFonts w:ascii="Verdana" w:hAnsi="Verdana" w:cs="Times New Roman"/>
          <w:i/>
          <w:iCs/>
          <w:sz w:val="18"/>
          <w:szCs w:val="18"/>
        </w:rPr>
        <w:t xml:space="preserve">res </w:t>
      </w:r>
      <w:proofErr w:type="spellStart"/>
      <w:r>
        <w:rPr>
          <w:rFonts w:ascii="Verdana" w:hAnsi="Verdana" w:cs="Times New Roman"/>
          <w:i/>
          <w:iCs/>
          <w:sz w:val="18"/>
          <w:szCs w:val="18"/>
        </w:rPr>
        <w:t>publica</w:t>
      </w:r>
      <w:proofErr w:type="spellEnd"/>
      <w:r>
        <w:rPr>
          <w:rFonts w:ascii="Verdana" w:hAnsi="Verdana" w:cs="Times New Roman"/>
          <w:i/>
          <w:iCs/>
          <w:sz w:val="18"/>
          <w:szCs w:val="18"/>
        </w:rPr>
        <w:t xml:space="preserve">. </w:t>
      </w:r>
      <w:r>
        <w:rPr>
          <w:rFonts w:ascii="Verdana" w:hAnsi="Verdana" w:cs="Times New Roman"/>
          <w:sz w:val="18"/>
          <w:szCs w:val="18"/>
        </w:rPr>
        <w:t>Conforme ensina Martins Júnior:</w:t>
      </w:r>
    </w:p>
    <w:p w14:paraId="40FE344D" w14:textId="77777777" w:rsidR="00EB6A4D" w:rsidRDefault="00EB6A4D" w:rsidP="00EB6A4D">
      <w:pPr>
        <w:spacing w:line="360" w:lineRule="auto"/>
        <w:ind w:left="2977"/>
        <w:jc w:val="both"/>
        <w:rPr>
          <w:rFonts w:ascii="Verdana" w:hAnsi="Verdana" w:cs="Times New Roman"/>
          <w:sz w:val="18"/>
          <w:szCs w:val="18"/>
        </w:rPr>
      </w:pPr>
    </w:p>
    <w:p w14:paraId="7329409E" w14:textId="77777777" w:rsidR="00EB6A4D" w:rsidRPr="001639E8" w:rsidRDefault="00EB6A4D" w:rsidP="00EB6A4D">
      <w:pPr>
        <w:spacing w:line="360" w:lineRule="auto"/>
        <w:ind w:left="2977"/>
        <w:jc w:val="both"/>
        <w:rPr>
          <w:rFonts w:ascii="Verdana" w:hAnsi="Verdana" w:cs="Times New Roman"/>
          <w:sz w:val="18"/>
          <w:szCs w:val="18"/>
        </w:rPr>
      </w:pPr>
      <w:r>
        <w:rPr>
          <w:rFonts w:ascii="Verdana" w:hAnsi="Verdana" w:cs="Times New Roman"/>
          <w:sz w:val="18"/>
          <w:szCs w:val="18"/>
        </w:rPr>
        <w:t>“</w:t>
      </w:r>
      <w:r>
        <w:rPr>
          <w:rFonts w:ascii="Verdana" w:hAnsi="Verdana" w:cs="Times New Roman"/>
          <w:i/>
          <w:iCs/>
          <w:sz w:val="18"/>
          <w:szCs w:val="18"/>
        </w:rPr>
        <w:t xml:space="preserve">O caráter público da gestão administrativa leva em consideração, além da supremacia do público sobre o privado, a visibilidade e as perspectivas informativas e participativas, na medida em que o destinatário final é o público”. </w:t>
      </w:r>
      <w:r>
        <w:rPr>
          <w:rFonts w:ascii="Verdana" w:hAnsi="Verdana" w:cs="Times New Roman"/>
          <w:sz w:val="18"/>
          <w:szCs w:val="18"/>
        </w:rPr>
        <w:t>(MARTINS JÚNIOR, Wallace Paiva. Transparência administrativa: publicidade, motivação e participação popular. 2. Ed. São Paulo: Saraiva, 2010)</w:t>
      </w:r>
    </w:p>
    <w:p w14:paraId="10A0D4A7" w14:textId="77777777" w:rsidR="00EB6A4D" w:rsidRPr="00165EA0" w:rsidRDefault="00EB6A4D" w:rsidP="00EB6A4D">
      <w:pPr>
        <w:spacing w:line="360" w:lineRule="auto"/>
        <w:jc w:val="both"/>
        <w:rPr>
          <w:rFonts w:ascii="Verdana" w:hAnsi="Verdana" w:cs="Times New Roman"/>
          <w:sz w:val="18"/>
          <w:szCs w:val="18"/>
        </w:rPr>
      </w:pPr>
    </w:p>
    <w:p w14:paraId="050AC9D6"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A essas normas é o que se convencionou chamar de posturas municipais, que disciplinam o exercício do poder de polícia administrativa do Poder Público sobre os estabelecimentos locais, bem como sobre seus munícipes. Isto é, conclui-se que a matéria em estudo está dentro do âmbito das atribuições definidas constitucionalmente aos municípios.</w:t>
      </w:r>
    </w:p>
    <w:p w14:paraId="09EDCEF1" w14:textId="77777777" w:rsidR="00EB6A4D" w:rsidRPr="00165EA0" w:rsidRDefault="00EB6A4D" w:rsidP="00EB6A4D">
      <w:pPr>
        <w:spacing w:line="360" w:lineRule="auto"/>
        <w:ind w:firstLine="851"/>
        <w:jc w:val="both"/>
        <w:rPr>
          <w:rFonts w:ascii="Verdana" w:hAnsi="Verdana" w:cs="Times New Roman"/>
          <w:sz w:val="18"/>
          <w:szCs w:val="18"/>
        </w:rPr>
      </w:pPr>
    </w:p>
    <w:p w14:paraId="0328AFDF" w14:textId="77777777" w:rsidR="00EB6A4D"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As posturas municipais não se enquadram dentre as matérias cuja iniciativa legislativa é exclusiva do Executivo, que são aquelas listadas no § 1º, do art. 61, da Constituição Federal, que por força do princípio da simetria estão previstas nas maiorias das constituições estaduais e lei orgânicas dos entes que compõem a federação.</w:t>
      </w:r>
    </w:p>
    <w:p w14:paraId="4AEFB9F4" w14:textId="77777777" w:rsidR="00EB6A4D" w:rsidRPr="00165EA0" w:rsidRDefault="00EB6A4D" w:rsidP="00EB6A4D">
      <w:pPr>
        <w:spacing w:line="360" w:lineRule="auto"/>
        <w:ind w:firstLine="851"/>
        <w:jc w:val="both"/>
        <w:rPr>
          <w:rFonts w:ascii="Verdana" w:hAnsi="Verdana" w:cs="Times New Roman"/>
          <w:sz w:val="18"/>
          <w:szCs w:val="18"/>
        </w:rPr>
      </w:pPr>
    </w:p>
    <w:p w14:paraId="69BDAB78"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 xml:space="preserve">Em sentido contrário, podemos deduzir que os temas não previstos no mencionado dispositivo constitucional são de iniciativa comum. Importante citar que a linha de raciocínio adotada pelo próprio Supremo Tribunal Federal - STF, ao analisar a competência concorrente e reservada, conforme se pode extrair da </w:t>
      </w:r>
      <w:proofErr w:type="spellStart"/>
      <w:r w:rsidRPr="00165EA0">
        <w:rPr>
          <w:rFonts w:ascii="Verdana" w:hAnsi="Verdana" w:cs="Times New Roman"/>
          <w:sz w:val="18"/>
          <w:szCs w:val="18"/>
        </w:rPr>
        <w:t>ADIn</w:t>
      </w:r>
      <w:proofErr w:type="spellEnd"/>
      <w:r w:rsidRPr="00165EA0">
        <w:rPr>
          <w:rFonts w:ascii="Verdana" w:hAnsi="Verdana" w:cs="Times New Roman"/>
          <w:sz w:val="18"/>
          <w:szCs w:val="18"/>
        </w:rPr>
        <w:t xml:space="preserve">. nº 724-MC/RS e dos </w:t>
      </w:r>
      <w:proofErr w:type="spellStart"/>
      <w:r w:rsidRPr="00165EA0">
        <w:rPr>
          <w:rFonts w:ascii="Verdana" w:hAnsi="Verdana" w:cs="Times New Roman"/>
          <w:sz w:val="18"/>
          <w:szCs w:val="18"/>
        </w:rPr>
        <w:t>EmbDclRE</w:t>
      </w:r>
      <w:proofErr w:type="spellEnd"/>
      <w:r w:rsidRPr="00165EA0">
        <w:rPr>
          <w:rFonts w:ascii="Verdana" w:hAnsi="Verdana" w:cs="Times New Roman"/>
          <w:sz w:val="18"/>
          <w:szCs w:val="18"/>
        </w:rPr>
        <w:t xml:space="preserve"> nº 590.697/MG, ambos no seguinte sentido: </w:t>
      </w:r>
    </w:p>
    <w:p w14:paraId="2C6805AB" w14:textId="77777777" w:rsidR="00EB6A4D" w:rsidRPr="00165EA0" w:rsidRDefault="00EB6A4D" w:rsidP="00EB6A4D">
      <w:pPr>
        <w:spacing w:line="360" w:lineRule="auto"/>
        <w:jc w:val="both"/>
        <w:rPr>
          <w:rFonts w:ascii="Verdana" w:hAnsi="Verdana" w:cs="Times New Roman"/>
          <w:sz w:val="18"/>
          <w:szCs w:val="18"/>
        </w:rPr>
      </w:pPr>
    </w:p>
    <w:p w14:paraId="2DAE3A41" w14:textId="77777777" w:rsidR="00EB6A4D" w:rsidRPr="00165EA0" w:rsidRDefault="00EB6A4D" w:rsidP="00EB6A4D">
      <w:pPr>
        <w:spacing w:line="360" w:lineRule="auto"/>
        <w:ind w:left="2268"/>
        <w:jc w:val="both"/>
        <w:rPr>
          <w:rFonts w:ascii="Verdana" w:hAnsi="Verdana" w:cs="Times New Roman"/>
          <w:b/>
          <w:i/>
          <w:iCs/>
          <w:sz w:val="18"/>
          <w:szCs w:val="18"/>
        </w:rPr>
      </w:pPr>
      <w:r w:rsidRPr="00165EA0">
        <w:rPr>
          <w:rFonts w:ascii="Verdana" w:hAnsi="Verdana" w:cs="Times New Roman"/>
          <w:b/>
          <w:sz w:val="18"/>
          <w:szCs w:val="18"/>
        </w:rPr>
        <w:lastRenderedPageBreak/>
        <w:t xml:space="preserve"> </w:t>
      </w:r>
      <w:r w:rsidRPr="00165EA0">
        <w:rPr>
          <w:rFonts w:ascii="Verdana" w:hAnsi="Verdana" w:cs="Times New Roman"/>
          <w:b/>
          <w:i/>
          <w:iCs/>
          <w:sz w:val="18"/>
          <w:szCs w:val="18"/>
        </w:rPr>
        <w:t xml:space="preserve">“A iniciativa reservada, por constituir matéria de direito estrito, não se presume e nem comporta interpretação ampliativa, na medida em que – por implicar limitação ao poder de instauração do processo legislativo – deve necessariamente derivar de norma constitucional explícita e inequívoca”. </w:t>
      </w:r>
    </w:p>
    <w:p w14:paraId="0FFD8DE2" w14:textId="77777777" w:rsidR="00EB6A4D" w:rsidRPr="00165EA0" w:rsidRDefault="00EB6A4D" w:rsidP="00EB6A4D">
      <w:pPr>
        <w:spacing w:line="360" w:lineRule="auto"/>
        <w:ind w:left="2268"/>
        <w:jc w:val="both"/>
        <w:rPr>
          <w:rFonts w:ascii="Verdana" w:hAnsi="Verdana" w:cs="Times New Roman"/>
          <w:b/>
          <w:i/>
          <w:iCs/>
          <w:sz w:val="18"/>
          <w:szCs w:val="18"/>
        </w:rPr>
      </w:pPr>
    </w:p>
    <w:p w14:paraId="0D38C868"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 xml:space="preserve">Sobre o tema, manifestou o Tribunal de Justiça de Minas Gerais entendendo pela competência concorrente, senão vejamos: </w:t>
      </w:r>
    </w:p>
    <w:p w14:paraId="566D0530" w14:textId="77777777" w:rsidR="00EB6A4D" w:rsidRPr="00165EA0" w:rsidRDefault="00EB6A4D" w:rsidP="00EB6A4D">
      <w:pPr>
        <w:spacing w:line="360" w:lineRule="auto"/>
        <w:jc w:val="both"/>
        <w:rPr>
          <w:rFonts w:ascii="Verdana" w:hAnsi="Verdana" w:cs="Times New Roman"/>
          <w:sz w:val="18"/>
          <w:szCs w:val="18"/>
        </w:rPr>
      </w:pPr>
    </w:p>
    <w:p w14:paraId="2F6CE040" w14:textId="77777777" w:rsidR="00EB6A4D" w:rsidRPr="00165EA0" w:rsidRDefault="00EB6A4D" w:rsidP="00EB6A4D">
      <w:pPr>
        <w:spacing w:line="360" w:lineRule="auto"/>
        <w:ind w:left="2268"/>
        <w:jc w:val="both"/>
        <w:rPr>
          <w:rFonts w:ascii="Verdana" w:hAnsi="Verdana" w:cs="Times New Roman"/>
          <w:bCs/>
          <w:sz w:val="18"/>
          <w:szCs w:val="18"/>
        </w:rPr>
      </w:pPr>
      <w:r w:rsidRPr="00165EA0">
        <w:rPr>
          <w:rFonts w:ascii="Verdana" w:hAnsi="Verdana" w:cs="Times New Roman"/>
          <w:b/>
          <w:sz w:val="18"/>
          <w:szCs w:val="18"/>
        </w:rPr>
        <w:t xml:space="preserve">EMENTA: AÇÃO DIRETA DE INCONSTICIONALIDADE - LEI Nº 12.259/15, DO MUNICÍPIO DE UBERLÂNDIA - INICIATIVA PARLAMENTAR - INSTALAÇÃO DE DETECTOR DE METAL EM CASAS DE DIVERSÕES PÚBLICAS - VÍCIO DE INICIATIVA - INOCORRÊNCIA - COMPETÊNCIA CONCORRENTE - REPRESENTAÇÃO </w:t>
      </w:r>
      <w:proofErr w:type="gramStart"/>
      <w:r w:rsidRPr="00165EA0">
        <w:rPr>
          <w:rFonts w:ascii="Verdana" w:hAnsi="Verdana" w:cs="Times New Roman"/>
          <w:b/>
          <w:sz w:val="18"/>
          <w:szCs w:val="18"/>
        </w:rPr>
        <w:t>INACOLHIDA.-</w:t>
      </w:r>
      <w:proofErr w:type="gramEnd"/>
      <w:r w:rsidRPr="00165EA0">
        <w:rPr>
          <w:rFonts w:ascii="Verdana" w:hAnsi="Verdana" w:cs="Times New Roman"/>
          <w:b/>
          <w:sz w:val="18"/>
          <w:szCs w:val="18"/>
        </w:rPr>
        <w:t xml:space="preserve"> </w:t>
      </w:r>
      <w:r w:rsidRPr="00165EA0">
        <w:rPr>
          <w:rFonts w:ascii="Verdana" w:hAnsi="Verdana" w:cs="Times New Roman"/>
          <w:bCs/>
          <w:sz w:val="18"/>
          <w:szCs w:val="18"/>
        </w:rPr>
        <w:t>Segundo escólio de HELY LOPES MEIRELLES, "</w:t>
      </w:r>
      <w:r w:rsidRPr="00165EA0">
        <w:rPr>
          <w:rFonts w:ascii="Verdana" w:hAnsi="Verdana" w:cs="Times New Roman"/>
          <w:bCs/>
          <w:sz w:val="18"/>
          <w:szCs w:val="18"/>
          <w:u w:val="single"/>
        </w:rPr>
        <w:t>Leis de iniciativa exclusiva do prefeito são aquelas em que só a ele cabe o envio do projeto à Câmara</w:t>
      </w:r>
      <w:r w:rsidRPr="00165EA0">
        <w:rPr>
          <w:rFonts w:ascii="Verdana" w:hAnsi="Verdana" w:cs="Times New Roman"/>
          <w:bCs/>
          <w:sz w:val="18"/>
          <w:szCs w:val="18"/>
        </w:rPr>
        <w:t xml:space="preserve">. Nessa categoria estão as que disponham sobre a criação, estruturação e atribuição das secretarias, órgãos e entidades da Administração Pública Municipal; a criação de cargos, funções ou empregos públicos na Administração direta e autárquica, fixação e aumento de sua remuneração; o regime jurídico dos servidores municipais; e o plano plurianual, as diretrizes orçamentárias, os orçamentos anuais, créditos suplementares e especiais" ("in" "Direito Municipal Brasileiro", 15ª edição, São Paulo, Malheiros Editores, 2006, pp.732/733)."- A matéria objeto da Lei nº 12.259/2015, do Município de Uberlândia, não se insere em nenhuma daquelas cuja iniciativa do projeto de lei recaia privativamente sobre o Chefe do Poder Executivo, haja vista que se limita a instituir no Código Municipal de Posturas obrigação de que as "casas de diversões públicas" instalem detectores de metais na entrada.- Consoante apregoado pela Excelsa Corte, "A iniciativa reservada, por constituir matéria de direito estrito, não se presume e nem comporta interpretação ampliativa, na medida em que, por implicar limitação ao poder de instauração do processo legislativo, deve necessariamente derivar de norma constitucional explícita e inequívoca". (STF, Pleno, ADI-MC nº 724/RS, Relator Ministro Celso de Mello, DJ de 27.4.2001). AÇÃO DIRETA INCONST Nº </w:t>
      </w:r>
      <w:r w:rsidRPr="00165EA0">
        <w:rPr>
          <w:rFonts w:ascii="Verdana" w:hAnsi="Verdana" w:cs="Times New Roman"/>
          <w:bCs/>
          <w:sz w:val="18"/>
          <w:szCs w:val="18"/>
        </w:rPr>
        <w:lastRenderedPageBreak/>
        <w:t xml:space="preserve">1.0000.15.081204-8/000 - COMARCA DE UBERLÂNDIA – REQUERENTE (S): PREFEITO MUNICIPAL DA CIDADE DE UBERLÂNDIA – REQUERIDO (A) (S): PRESIDENTE CÂMARA MUN UBERLANDIA. </w:t>
      </w:r>
    </w:p>
    <w:p w14:paraId="7EE3BA9B" w14:textId="77777777" w:rsidR="00EB6A4D" w:rsidRPr="00165EA0" w:rsidRDefault="00EB6A4D" w:rsidP="00EB6A4D">
      <w:pPr>
        <w:spacing w:line="360" w:lineRule="auto"/>
        <w:ind w:left="2268"/>
        <w:jc w:val="both"/>
        <w:rPr>
          <w:rFonts w:ascii="Verdana" w:hAnsi="Verdana" w:cs="Times New Roman"/>
          <w:b/>
          <w:sz w:val="18"/>
          <w:szCs w:val="18"/>
        </w:rPr>
      </w:pPr>
    </w:p>
    <w:p w14:paraId="017AD7D4"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 xml:space="preserve">Com efeito, a iniciativa para legislar sobre posturas municipais é comum ou concorrente do Poder Legislativo e do Poder Executivo. </w:t>
      </w:r>
    </w:p>
    <w:p w14:paraId="60B69BE2" w14:textId="77777777" w:rsidR="00EB6A4D" w:rsidRPr="00165EA0" w:rsidRDefault="00EB6A4D" w:rsidP="00EB6A4D">
      <w:pPr>
        <w:spacing w:line="360" w:lineRule="auto"/>
        <w:ind w:firstLine="851"/>
        <w:jc w:val="both"/>
        <w:rPr>
          <w:rFonts w:ascii="Verdana" w:hAnsi="Verdana" w:cs="Times New Roman"/>
          <w:sz w:val="18"/>
          <w:szCs w:val="18"/>
        </w:rPr>
      </w:pPr>
    </w:p>
    <w:p w14:paraId="58870BF6"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 xml:space="preserve">Dessa forma, qualquer um desses Poderes, a princípio, é competente para propor projetos de lei que tratem do tema. </w:t>
      </w:r>
    </w:p>
    <w:p w14:paraId="4FE2C005" w14:textId="77777777" w:rsidR="00EB6A4D" w:rsidRDefault="00EB6A4D" w:rsidP="00EB6A4D">
      <w:pPr>
        <w:spacing w:line="360" w:lineRule="auto"/>
        <w:jc w:val="both"/>
        <w:rPr>
          <w:rFonts w:ascii="Verdana" w:hAnsi="Verdana" w:cs="Times New Roman"/>
          <w:sz w:val="18"/>
          <w:szCs w:val="18"/>
        </w:rPr>
      </w:pPr>
    </w:p>
    <w:p w14:paraId="48ED6FFC" w14:textId="77777777" w:rsidR="00EB6A4D" w:rsidRPr="00C6008E" w:rsidRDefault="00EB6A4D" w:rsidP="00EB6A4D">
      <w:pPr>
        <w:spacing w:line="360" w:lineRule="auto"/>
        <w:ind w:firstLine="851"/>
        <w:jc w:val="both"/>
        <w:rPr>
          <w:rFonts w:ascii="Verdana" w:hAnsi="Verdana" w:cs="Times New Roman"/>
          <w:bCs/>
          <w:sz w:val="18"/>
          <w:szCs w:val="18"/>
        </w:rPr>
      </w:pPr>
      <w:r w:rsidRPr="00C6008E">
        <w:rPr>
          <w:rFonts w:ascii="Verdana" w:hAnsi="Verdana" w:cs="Times New Roman"/>
          <w:bCs/>
          <w:sz w:val="18"/>
          <w:szCs w:val="18"/>
        </w:rPr>
        <w:t xml:space="preserve">Em nosso entender, não há dúvidas de que ao </w:t>
      </w:r>
      <w:r w:rsidRPr="008054F7">
        <w:rPr>
          <w:rFonts w:ascii="Verdana" w:hAnsi="Verdana" w:cs="Times New Roman"/>
          <w:b/>
          <w:sz w:val="18"/>
          <w:szCs w:val="18"/>
        </w:rPr>
        <w:t>Município</w:t>
      </w:r>
      <w:r w:rsidRPr="00C6008E">
        <w:rPr>
          <w:rFonts w:ascii="Verdana" w:hAnsi="Verdana" w:cs="Times New Roman"/>
          <w:bCs/>
          <w:sz w:val="18"/>
          <w:szCs w:val="18"/>
        </w:rPr>
        <w:t xml:space="preserve"> se conferem diversas possibilidades no que diz respeito à atividade legislativa, estando, pois, legitimado, ressalvada a hipótese de matérias existentes no rol de competências privativas da União, o que não se afigura no caso em análise.</w:t>
      </w:r>
    </w:p>
    <w:p w14:paraId="57EDED2A" w14:textId="77777777" w:rsidR="00EB6A4D" w:rsidRPr="00C6008E" w:rsidRDefault="00EB6A4D" w:rsidP="00EB6A4D">
      <w:pPr>
        <w:spacing w:line="360" w:lineRule="auto"/>
        <w:ind w:firstLine="851"/>
        <w:jc w:val="both"/>
        <w:rPr>
          <w:rFonts w:ascii="Verdana" w:hAnsi="Verdana" w:cs="Times New Roman"/>
          <w:bCs/>
          <w:sz w:val="18"/>
          <w:szCs w:val="18"/>
        </w:rPr>
      </w:pPr>
    </w:p>
    <w:p w14:paraId="5DB03D32" w14:textId="77777777" w:rsidR="00EB6A4D" w:rsidRPr="00C6008E" w:rsidRDefault="00EB6A4D" w:rsidP="00EB6A4D">
      <w:pPr>
        <w:spacing w:line="360" w:lineRule="auto"/>
        <w:ind w:firstLine="851"/>
        <w:jc w:val="both"/>
        <w:rPr>
          <w:rFonts w:ascii="Verdana" w:hAnsi="Verdana" w:cs="Times New Roman"/>
          <w:bCs/>
          <w:sz w:val="18"/>
          <w:szCs w:val="18"/>
        </w:rPr>
      </w:pPr>
      <w:r w:rsidRPr="00C6008E">
        <w:rPr>
          <w:rFonts w:ascii="Verdana" w:hAnsi="Verdana" w:cs="Times New Roman"/>
          <w:bCs/>
          <w:sz w:val="18"/>
          <w:szCs w:val="18"/>
        </w:rPr>
        <w:t>Inclusive, corroborando este entendimento, a Lei Orgânica Municipal concede a competência ao Município quanto à regulamentação, autorização e fiscalização na afixação de cartazes e anúncios nos locais sujeitos ao poder de polícia municipal, nos termos do artigo 39, XVIII.</w:t>
      </w:r>
    </w:p>
    <w:p w14:paraId="4D28984E" w14:textId="77777777" w:rsidR="00EB6A4D" w:rsidRPr="00C6008E" w:rsidRDefault="00EB6A4D" w:rsidP="00EB6A4D">
      <w:pPr>
        <w:spacing w:line="360" w:lineRule="auto"/>
        <w:ind w:firstLine="851"/>
        <w:jc w:val="both"/>
        <w:rPr>
          <w:rFonts w:ascii="Verdana" w:hAnsi="Verdana" w:cs="Times New Roman"/>
          <w:bCs/>
          <w:sz w:val="18"/>
          <w:szCs w:val="18"/>
        </w:rPr>
      </w:pPr>
    </w:p>
    <w:p w14:paraId="2967CCD1" w14:textId="77777777" w:rsidR="00EB6A4D" w:rsidRDefault="00EB6A4D" w:rsidP="00EB6A4D">
      <w:pPr>
        <w:spacing w:line="360" w:lineRule="auto"/>
        <w:ind w:firstLine="851"/>
        <w:jc w:val="both"/>
        <w:rPr>
          <w:rFonts w:ascii="Verdana" w:hAnsi="Verdana" w:cs="Times New Roman"/>
          <w:bCs/>
          <w:sz w:val="18"/>
          <w:szCs w:val="18"/>
        </w:rPr>
      </w:pPr>
      <w:r>
        <w:rPr>
          <w:rFonts w:ascii="Verdana" w:hAnsi="Verdana" w:cs="Times New Roman"/>
          <w:bCs/>
          <w:sz w:val="18"/>
          <w:szCs w:val="18"/>
        </w:rPr>
        <w:t xml:space="preserve">Desta maneira, </w:t>
      </w:r>
      <w:r w:rsidRPr="00C6008E">
        <w:rPr>
          <w:rFonts w:ascii="Verdana" w:hAnsi="Verdana" w:cs="Times New Roman"/>
          <w:bCs/>
          <w:sz w:val="18"/>
          <w:szCs w:val="18"/>
        </w:rPr>
        <w:t>não vislumbramos quaisquer vícios, uma vez que a matéria em pauta não se trata de iniciativa privativa do Executivo, fazendo-se, pois, observância ao artigo 76 da mesma Lei mencionada acima</w:t>
      </w:r>
      <w:r>
        <w:rPr>
          <w:rFonts w:ascii="Verdana" w:hAnsi="Verdana" w:cs="Times New Roman"/>
          <w:bCs/>
          <w:sz w:val="18"/>
          <w:szCs w:val="18"/>
        </w:rPr>
        <w:t>.</w:t>
      </w:r>
    </w:p>
    <w:p w14:paraId="0E2937A9" w14:textId="77777777" w:rsidR="00EB6A4D" w:rsidRDefault="00EB6A4D" w:rsidP="00EB6A4D">
      <w:pPr>
        <w:spacing w:line="360" w:lineRule="auto"/>
        <w:ind w:firstLine="851"/>
        <w:jc w:val="both"/>
        <w:rPr>
          <w:rFonts w:ascii="Verdana" w:hAnsi="Verdana" w:cs="Times New Roman"/>
          <w:bCs/>
          <w:sz w:val="18"/>
          <w:szCs w:val="18"/>
        </w:rPr>
      </w:pPr>
    </w:p>
    <w:p w14:paraId="5E48F7AE" w14:textId="123EC53A" w:rsidR="00EB6A4D" w:rsidRDefault="00EB6A4D" w:rsidP="00EB6A4D">
      <w:pPr>
        <w:spacing w:line="360" w:lineRule="auto"/>
        <w:ind w:firstLine="851"/>
        <w:jc w:val="both"/>
        <w:rPr>
          <w:rFonts w:ascii="Verdana" w:hAnsi="Verdana" w:cs="Times New Roman"/>
          <w:bCs/>
          <w:sz w:val="18"/>
          <w:szCs w:val="18"/>
        </w:rPr>
      </w:pPr>
      <w:r>
        <w:rPr>
          <w:rFonts w:ascii="Verdana" w:hAnsi="Verdana" w:cs="Times New Roman"/>
          <w:bCs/>
          <w:sz w:val="18"/>
          <w:szCs w:val="18"/>
        </w:rPr>
        <w:t>S</w:t>
      </w:r>
      <w:r w:rsidRPr="00C6008E">
        <w:rPr>
          <w:rFonts w:ascii="Verdana" w:hAnsi="Verdana" w:cs="Times New Roman"/>
          <w:bCs/>
          <w:sz w:val="18"/>
          <w:szCs w:val="18"/>
        </w:rPr>
        <w:t xml:space="preserve">alvo melhor juízo, </w:t>
      </w:r>
      <w:r>
        <w:rPr>
          <w:rFonts w:ascii="Verdana" w:hAnsi="Verdana" w:cs="Times New Roman"/>
          <w:bCs/>
          <w:sz w:val="18"/>
          <w:szCs w:val="18"/>
        </w:rPr>
        <w:t>a propositura exposta no Projeto de Lei,</w:t>
      </w:r>
      <w:r w:rsidRPr="00C6008E">
        <w:rPr>
          <w:rFonts w:ascii="Verdana" w:hAnsi="Verdana" w:cs="Times New Roman"/>
          <w:bCs/>
          <w:sz w:val="18"/>
          <w:szCs w:val="18"/>
        </w:rPr>
        <w:t xml:space="preserve"> por si só</w:t>
      </w:r>
      <w:r>
        <w:rPr>
          <w:rFonts w:ascii="Verdana" w:hAnsi="Verdana" w:cs="Times New Roman"/>
          <w:bCs/>
          <w:sz w:val="18"/>
          <w:szCs w:val="18"/>
        </w:rPr>
        <w:t xml:space="preserve">, </w:t>
      </w:r>
      <w:r w:rsidRPr="00C6008E">
        <w:rPr>
          <w:rFonts w:ascii="Verdana" w:hAnsi="Verdana" w:cs="Times New Roman"/>
          <w:bCs/>
          <w:sz w:val="18"/>
          <w:szCs w:val="18"/>
        </w:rPr>
        <w:t>não desencadeia nenhuma nova criação ou organização ou novas atribuições para a Administração Pública, visando apenas dar publicidade/informação à sociedade sobre uma Lei já vigente</w:t>
      </w:r>
      <w:r w:rsidR="00F60B2D">
        <w:rPr>
          <w:rFonts w:ascii="Verdana" w:hAnsi="Verdana" w:cs="Times New Roman"/>
          <w:bCs/>
          <w:sz w:val="18"/>
          <w:szCs w:val="18"/>
        </w:rPr>
        <w:t>.</w:t>
      </w:r>
    </w:p>
    <w:p w14:paraId="3052AB46" w14:textId="77777777" w:rsidR="00EB6A4D" w:rsidRPr="008054F7" w:rsidRDefault="00EB6A4D" w:rsidP="00EB6A4D">
      <w:pPr>
        <w:spacing w:line="360" w:lineRule="auto"/>
        <w:ind w:firstLine="851"/>
        <w:jc w:val="both"/>
        <w:rPr>
          <w:rFonts w:ascii="Verdana" w:hAnsi="Verdana" w:cs="Times New Roman"/>
          <w:bCs/>
          <w:sz w:val="18"/>
          <w:szCs w:val="18"/>
        </w:rPr>
      </w:pPr>
    </w:p>
    <w:p w14:paraId="6E8166D5" w14:textId="16454B95"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 xml:space="preserve"> De todo o exposto, opinamos para o prosseguimento das demais fases do processo legislativo, entendendo que o Projeto de Lei nº </w:t>
      </w:r>
      <w:r w:rsidR="00F60B2D">
        <w:rPr>
          <w:rFonts w:ascii="Verdana" w:hAnsi="Verdana" w:cs="Times New Roman"/>
          <w:sz w:val="18"/>
          <w:szCs w:val="18"/>
        </w:rPr>
        <w:t>289</w:t>
      </w:r>
      <w:r w:rsidRPr="00165EA0">
        <w:rPr>
          <w:rFonts w:ascii="Verdana" w:hAnsi="Verdana" w:cs="Times New Roman"/>
          <w:sz w:val="18"/>
          <w:szCs w:val="18"/>
        </w:rPr>
        <w:t>/202</w:t>
      </w:r>
      <w:r>
        <w:rPr>
          <w:rFonts w:ascii="Verdana" w:hAnsi="Verdana" w:cs="Times New Roman"/>
          <w:sz w:val="18"/>
          <w:szCs w:val="18"/>
        </w:rPr>
        <w:t>4</w:t>
      </w:r>
      <w:r w:rsidRPr="00165EA0">
        <w:rPr>
          <w:rFonts w:ascii="Verdana" w:hAnsi="Verdana" w:cs="Times New Roman"/>
          <w:sz w:val="18"/>
          <w:szCs w:val="18"/>
        </w:rPr>
        <w:t xml:space="preserve"> encontra-se de acordo com as normas pertinentes cuja iniciativa é concorrente, não existindo óbice de caráter constitucional ou legal para o seu regular trâmite em Plenário. </w:t>
      </w:r>
    </w:p>
    <w:p w14:paraId="7552E160" w14:textId="77777777" w:rsidR="00EB6A4D" w:rsidRPr="00165EA0" w:rsidRDefault="00EB6A4D" w:rsidP="00EB6A4D">
      <w:pPr>
        <w:spacing w:line="360" w:lineRule="auto"/>
        <w:ind w:firstLine="851"/>
        <w:jc w:val="both"/>
        <w:rPr>
          <w:rFonts w:ascii="Verdana" w:hAnsi="Verdana" w:cs="Times New Roman"/>
          <w:sz w:val="18"/>
          <w:szCs w:val="18"/>
        </w:rPr>
      </w:pPr>
    </w:p>
    <w:p w14:paraId="079D2494"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sz w:val="18"/>
          <w:szCs w:val="18"/>
        </w:rPr>
        <w:t>Insta registrar que este parecer se refere exclusivamente aos aspectos legais de tramitação, sendo que a questão de mérito cabe única e exclusivamente às Comissões pertinentes desta Casa de Leis.</w:t>
      </w:r>
    </w:p>
    <w:p w14:paraId="3290E941" w14:textId="77777777" w:rsidR="00EB6A4D" w:rsidRPr="00165EA0" w:rsidRDefault="00EB6A4D" w:rsidP="00EB6A4D">
      <w:pPr>
        <w:spacing w:line="360" w:lineRule="auto"/>
        <w:ind w:firstLine="851"/>
        <w:jc w:val="both"/>
        <w:rPr>
          <w:rFonts w:ascii="Verdana" w:hAnsi="Verdana" w:cs="Times New Roman"/>
          <w:sz w:val="18"/>
          <w:szCs w:val="18"/>
        </w:rPr>
      </w:pPr>
    </w:p>
    <w:p w14:paraId="7C5131E2"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É o nosso entendimento</w:t>
      </w:r>
      <w:r>
        <w:rPr>
          <w:rFonts w:ascii="Verdana" w:hAnsi="Verdana" w:cs="Times New Roman"/>
          <w:sz w:val="18"/>
          <w:szCs w:val="18"/>
        </w:rPr>
        <w:t>.</w:t>
      </w:r>
    </w:p>
    <w:p w14:paraId="51F3B20C" w14:textId="77777777" w:rsidR="00EB6A4D" w:rsidRPr="00165EA0" w:rsidRDefault="00EB6A4D" w:rsidP="00EB6A4D">
      <w:pPr>
        <w:jc w:val="both"/>
        <w:rPr>
          <w:rFonts w:ascii="Verdana" w:hAnsi="Verdana" w:cs="Times New Roman"/>
          <w:sz w:val="18"/>
          <w:szCs w:val="18"/>
        </w:rPr>
      </w:pPr>
    </w:p>
    <w:p w14:paraId="0D025572" w14:textId="77777777" w:rsidR="00EB6A4D" w:rsidRPr="00165EA0" w:rsidRDefault="00EB6A4D" w:rsidP="00EB6A4D">
      <w:pPr>
        <w:ind w:firstLine="2268"/>
        <w:jc w:val="both"/>
        <w:rPr>
          <w:rFonts w:ascii="Verdana" w:hAnsi="Verdana" w:cs="Times New Roman"/>
          <w:sz w:val="18"/>
          <w:szCs w:val="18"/>
        </w:rPr>
      </w:pPr>
    </w:p>
    <w:p w14:paraId="2D94BD26" w14:textId="77777777" w:rsidR="00EB6A4D" w:rsidRPr="00165EA0" w:rsidRDefault="00EB6A4D" w:rsidP="00EB6A4D">
      <w:pPr>
        <w:pStyle w:val="PargrafodaLista"/>
        <w:numPr>
          <w:ilvl w:val="0"/>
          <w:numId w:val="1"/>
        </w:numPr>
        <w:spacing w:line="360" w:lineRule="auto"/>
        <w:ind w:left="0" w:firstLine="0"/>
        <w:jc w:val="both"/>
        <w:rPr>
          <w:rFonts w:ascii="Verdana" w:hAnsi="Verdana"/>
          <w:b/>
          <w:sz w:val="18"/>
          <w:szCs w:val="18"/>
        </w:rPr>
      </w:pPr>
      <w:r w:rsidRPr="00165EA0">
        <w:rPr>
          <w:rFonts w:ascii="Verdana" w:hAnsi="Verdana"/>
          <w:b/>
          <w:sz w:val="18"/>
          <w:szCs w:val="18"/>
        </w:rPr>
        <w:t>CONCLUSÃO</w:t>
      </w:r>
    </w:p>
    <w:p w14:paraId="3E292043" w14:textId="77777777" w:rsidR="00EB6A4D" w:rsidRPr="00165EA0" w:rsidRDefault="00EB6A4D" w:rsidP="00EB6A4D">
      <w:pPr>
        <w:pStyle w:val="PargrafodaLista"/>
        <w:spacing w:line="360" w:lineRule="auto"/>
        <w:ind w:left="0"/>
        <w:jc w:val="both"/>
        <w:rPr>
          <w:rFonts w:ascii="Verdana" w:hAnsi="Verdana"/>
          <w:b/>
          <w:sz w:val="18"/>
          <w:szCs w:val="18"/>
        </w:rPr>
      </w:pPr>
    </w:p>
    <w:p w14:paraId="4AC792CA" w14:textId="77777777" w:rsidR="00EB6A4D" w:rsidRPr="00165EA0" w:rsidRDefault="00EB6A4D" w:rsidP="00EB6A4D">
      <w:pPr>
        <w:jc w:val="both"/>
        <w:rPr>
          <w:rFonts w:ascii="Verdana" w:hAnsi="Verdana" w:cs="Times New Roman"/>
          <w:sz w:val="18"/>
          <w:szCs w:val="18"/>
        </w:rPr>
      </w:pPr>
    </w:p>
    <w:p w14:paraId="6557312A" w14:textId="77777777" w:rsidR="00EB6A4D" w:rsidRPr="00165EA0" w:rsidRDefault="00EB6A4D" w:rsidP="00EB6A4D">
      <w:pPr>
        <w:spacing w:line="360" w:lineRule="auto"/>
        <w:ind w:firstLine="851"/>
        <w:jc w:val="both"/>
        <w:rPr>
          <w:rFonts w:ascii="Verdana" w:hAnsi="Verdana" w:cs="Times New Roman"/>
          <w:sz w:val="18"/>
          <w:szCs w:val="18"/>
        </w:rPr>
      </w:pPr>
      <w:r w:rsidRPr="00165EA0">
        <w:rPr>
          <w:rFonts w:ascii="Verdana" w:hAnsi="Verdana" w:cs="Times New Roman"/>
          <w:sz w:val="18"/>
          <w:szCs w:val="18"/>
        </w:rPr>
        <w:t>Em face do exposto, entende-se pela juridicidade, constitucionalidade e legalidade do Projeto de Lei e, consequentemente, favoravelmente à regular tramitação do feito em suas demais fases.</w:t>
      </w:r>
    </w:p>
    <w:p w14:paraId="5D05F3AB" w14:textId="77777777" w:rsidR="00EB6A4D" w:rsidRPr="00165EA0" w:rsidRDefault="00EB6A4D" w:rsidP="00EB6A4D">
      <w:pPr>
        <w:spacing w:line="360" w:lineRule="auto"/>
        <w:ind w:firstLine="1560"/>
        <w:jc w:val="both"/>
        <w:rPr>
          <w:rFonts w:ascii="Verdana" w:hAnsi="Verdana" w:cs="Times New Roman"/>
          <w:sz w:val="18"/>
          <w:szCs w:val="18"/>
        </w:rPr>
      </w:pPr>
    </w:p>
    <w:p w14:paraId="4861D80A" w14:textId="77777777" w:rsidR="00EB6A4D" w:rsidRPr="00165EA0" w:rsidRDefault="00EB6A4D" w:rsidP="00EB6A4D">
      <w:pPr>
        <w:spacing w:line="360" w:lineRule="auto"/>
        <w:ind w:firstLine="1560"/>
        <w:jc w:val="both"/>
        <w:rPr>
          <w:rFonts w:ascii="Verdana" w:hAnsi="Verdana" w:cs="Times New Roman"/>
          <w:color w:val="333333"/>
          <w:sz w:val="18"/>
          <w:szCs w:val="18"/>
          <w:shd w:val="clear" w:color="auto" w:fill="FFFFFF"/>
        </w:rPr>
      </w:pPr>
      <w:r w:rsidRPr="00165EA0">
        <w:rPr>
          <w:rFonts w:ascii="Verdana" w:hAnsi="Verdana" w:cs="Times New Roman"/>
          <w:color w:val="333333"/>
          <w:sz w:val="18"/>
          <w:szCs w:val="18"/>
          <w:shd w:val="clear" w:color="auto" w:fill="FFFFFF"/>
        </w:rPr>
        <w:t>É o parecer,</w:t>
      </w:r>
    </w:p>
    <w:p w14:paraId="6CA9C734" w14:textId="77777777" w:rsidR="00EB6A4D" w:rsidRPr="00165EA0" w:rsidRDefault="00EB6A4D" w:rsidP="00EB6A4D">
      <w:pPr>
        <w:spacing w:line="360" w:lineRule="auto"/>
        <w:ind w:firstLine="1560"/>
        <w:jc w:val="both"/>
        <w:rPr>
          <w:rFonts w:ascii="Verdana" w:hAnsi="Verdana" w:cs="Times New Roman"/>
          <w:color w:val="333333"/>
          <w:sz w:val="18"/>
          <w:szCs w:val="18"/>
          <w:shd w:val="clear" w:color="auto" w:fill="FFFFFF"/>
        </w:rPr>
      </w:pPr>
      <w:r w:rsidRPr="00165EA0">
        <w:rPr>
          <w:rFonts w:ascii="Verdana" w:hAnsi="Verdana" w:cs="Times New Roman"/>
          <w:color w:val="333333"/>
          <w:sz w:val="18"/>
          <w:szCs w:val="18"/>
          <w:shd w:val="clear" w:color="auto" w:fill="FFFFFF"/>
        </w:rPr>
        <w:t>s.m.j.</w:t>
      </w:r>
    </w:p>
    <w:p w14:paraId="484C1259" w14:textId="77777777" w:rsidR="00EB6A4D" w:rsidRPr="00165EA0" w:rsidRDefault="00EB6A4D" w:rsidP="00EB6A4D">
      <w:pPr>
        <w:spacing w:line="360" w:lineRule="auto"/>
        <w:rPr>
          <w:rFonts w:ascii="Verdana" w:hAnsi="Verdana" w:cs="Times New Roman"/>
          <w:sz w:val="18"/>
          <w:szCs w:val="18"/>
        </w:rPr>
      </w:pPr>
    </w:p>
    <w:p w14:paraId="2968AEEF" w14:textId="77777777" w:rsidR="00EB6A4D" w:rsidRDefault="00EB6A4D" w:rsidP="00EB6A4D">
      <w:pPr>
        <w:spacing w:line="360" w:lineRule="auto"/>
        <w:rPr>
          <w:rFonts w:ascii="Verdana" w:hAnsi="Verdana" w:cs="Times New Roman"/>
          <w:sz w:val="18"/>
          <w:szCs w:val="18"/>
        </w:rPr>
      </w:pPr>
    </w:p>
    <w:p w14:paraId="300BCF0E" w14:textId="77777777" w:rsidR="00EB6A4D" w:rsidRPr="00165EA0" w:rsidRDefault="00EB6A4D" w:rsidP="00EB6A4D">
      <w:pPr>
        <w:spacing w:line="360" w:lineRule="auto"/>
        <w:rPr>
          <w:rFonts w:ascii="Verdana" w:hAnsi="Verdana" w:cs="Times New Roman"/>
          <w:sz w:val="18"/>
          <w:szCs w:val="18"/>
        </w:rPr>
      </w:pPr>
    </w:p>
    <w:p w14:paraId="501329D2" w14:textId="77777777" w:rsidR="00EB6A4D" w:rsidRPr="00165EA0" w:rsidRDefault="00EB6A4D" w:rsidP="00EB6A4D">
      <w:pPr>
        <w:ind w:firstLine="851"/>
        <w:jc w:val="both"/>
        <w:rPr>
          <w:rFonts w:ascii="Verdana" w:hAnsi="Verdana" w:cs="Times New Roman"/>
          <w:b/>
          <w:bCs/>
          <w:sz w:val="18"/>
          <w:szCs w:val="18"/>
        </w:rPr>
      </w:pPr>
      <w:r w:rsidRPr="00165EA0">
        <w:rPr>
          <w:rFonts w:ascii="Verdana" w:hAnsi="Verdana" w:cs="Times New Roman"/>
          <w:b/>
          <w:bCs/>
          <w:sz w:val="18"/>
          <w:szCs w:val="18"/>
        </w:rPr>
        <w:t>ADRIANO COTTA DE BARROS</w:t>
      </w:r>
    </w:p>
    <w:p w14:paraId="0A38400C" w14:textId="77777777" w:rsidR="00EB6A4D" w:rsidRPr="00165EA0" w:rsidRDefault="00EB6A4D" w:rsidP="00EB6A4D">
      <w:pPr>
        <w:ind w:firstLine="851"/>
        <w:jc w:val="both"/>
        <w:rPr>
          <w:rFonts w:ascii="Verdana" w:hAnsi="Verdana" w:cs="Times New Roman"/>
          <w:sz w:val="18"/>
          <w:szCs w:val="18"/>
        </w:rPr>
      </w:pPr>
      <w:r w:rsidRPr="00165EA0">
        <w:rPr>
          <w:rFonts w:ascii="Verdana" w:hAnsi="Verdana" w:cs="Times New Roman"/>
          <w:sz w:val="18"/>
          <w:szCs w:val="18"/>
        </w:rPr>
        <w:t xml:space="preserve">  </w:t>
      </w:r>
      <w:r>
        <w:rPr>
          <w:rFonts w:ascii="Verdana" w:hAnsi="Verdana" w:cs="Times New Roman"/>
          <w:sz w:val="18"/>
          <w:szCs w:val="18"/>
        </w:rPr>
        <w:t>Subprocurador do Legislativo</w:t>
      </w:r>
    </w:p>
    <w:p w14:paraId="2AFDCF46" w14:textId="77777777" w:rsidR="00EB6A4D" w:rsidRPr="00165EA0" w:rsidRDefault="00EB6A4D" w:rsidP="00EB6A4D">
      <w:pPr>
        <w:rPr>
          <w:rFonts w:ascii="Verdana" w:hAnsi="Verdana" w:cs="Times New Roman"/>
          <w:sz w:val="18"/>
          <w:szCs w:val="18"/>
        </w:rPr>
      </w:pPr>
    </w:p>
    <w:p w14:paraId="66056BC5" w14:textId="77777777" w:rsidR="00EB6A4D" w:rsidRPr="00165EA0" w:rsidRDefault="00EB6A4D" w:rsidP="00EB6A4D">
      <w:pPr>
        <w:rPr>
          <w:rFonts w:ascii="Verdana" w:hAnsi="Verdana" w:cs="Times New Roman"/>
          <w:sz w:val="18"/>
          <w:szCs w:val="18"/>
        </w:rPr>
      </w:pPr>
    </w:p>
    <w:p w14:paraId="79045F5F" w14:textId="77777777" w:rsidR="00EB6A4D" w:rsidRPr="00165EA0" w:rsidRDefault="00EB6A4D" w:rsidP="00EB6A4D">
      <w:pPr>
        <w:rPr>
          <w:rFonts w:ascii="Verdana" w:hAnsi="Verdana"/>
          <w:sz w:val="18"/>
          <w:szCs w:val="18"/>
        </w:rPr>
      </w:pPr>
    </w:p>
    <w:p w14:paraId="37CBB48D" w14:textId="77777777" w:rsidR="00EB6A4D" w:rsidRPr="00165EA0" w:rsidRDefault="00EB6A4D" w:rsidP="00EB6A4D">
      <w:pPr>
        <w:rPr>
          <w:sz w:val="18"/>
          <w:szCs w:val="18"/>
        </w:rPr>
      </w:pPr>
    </w:p>
    <w:p w14:paraId="1CDA5493" w14:textId="77777777" w:rsidR="00EB6A4D" w:rsidRDefault="00EB6A4D" w:rsidP="00EB6A4D"/>
    <w:p w14:paraId="36EA3902" w14:textId="77777777" w:rsidR="00C97730" w:rsidRDefault="00C97730"/>
    <w:sectPr w:rsidR="00C97730">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8B63" w14:textId="77777777" w:rsidR="003C34B0" w:rsidRDefault="00F60B2D">
    <w:pPr>
      <w:pStyle w:val="Rodap"/>
    </w:pPr>
  </w:p>
  <w:p w14:paraId="2D3E3001" w14:textId="77777777" w:rsidR="003C34B0" w:rsidRDefault="00F60B2D">
    <w:pPr>
      <w:pStyle w:val="Rodap"/>
    </w:pPr>
  </w:p>
  <w:p w14:paraId="45C46470" w14:textId="77777777" w:rsidR="003C34B0" w:rsidRDefault="00F60B2D">
    <w:pPr>
      <w:pStyle w:val="Rodap"/>
    </w:pPr>
  </w:p>
  <w:p w14:paraId="1A4E00DF" w14:textId="77777777" w:rsidR="003C34B0" w:rsidRDefault="00F60B2D">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4C96" w14:textId="77777777" w:rsidR="003C34B0" w:rsidRDefault="00F60B2D">
    <w:pPr>
      <w:pStyle w:val="Cabealho"/>
    </w:pPr>
    <w:r>
      <w:rPr>
        <w:noProof/>
      </w:rPr>
      <w:drawing>
        <wp:anchor distT="0" distB="0" distL="114300" distR="114300" simplePos="0" relativeHeight="251659264" behindDoc="1" locked="0" layoutInCell="1" allowOverlap="1" wp14:anchorId="0FBADCC9" wp14:editId="0EB4C039">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23E617BF" w14:textId="77777777" w:rsidR="003C34B0" w:rsidRDefault="00F60B2D">
    <w:pPr>
      <w:pStyle w:val="Cabealho"/>
    </w:pPr>
  </w:p>
  <w:p w14:paraId="4D29BA9A" w14:textId="77777777" w:rsidR="003C34B0" w:rsidRDefault="00F60B2D">
    <w:pPr>
      <w:pStyle w:val="Cabealho"/>
    </w:pPr>
  </w:p>
  <w:p w14:paraId="54E872F8" w14:textId="77777777" w:rsidR="003C34B0" w:rsidRDefault="00F60B2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97445"/>
    <w:multiLevelType w:val="hybridMultilevel"/>
    <w:tmpl w:val="A620A54C"/>
    <w:lvl w:ilvl="0" w:tplc="0416000F">
      <w:start w:val="1"/>
      <w:numFmt w:val="decimal"/>
      <w:lvlText w:val="%1."/>
      <w:lvlJc w:val="left"/>
      <w:pPr>
        <w:ind w:left="720" w:hanging="360"/>
      </w:pPr>
      <w:rPr>
        <w:rFonts w:eastAsia="Times New Roman" w:cs="Times New Roman"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4D"/>
    <w:rsid w:val="00C97730"/>
    <w:rsid w:val="00EB6A4D"/>
    <w:rsid w:val="00F60B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DD28"/>
  <w15:chartTrackingRefBased/>
  <w15:docId w15:val="{AA28AA3E-BE63-40BE-8BC6-47FE37E8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6A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6A4D"/>
  </w:style>
  <w:style w:type="paragraph" w:styleId="Rodap">
    <w:name w:val="footer"/>
    <w:basedOn w:val="Normal"/>
    <w:link w:val="RodapChar"/>
    <w:uiPriority w:val="99"/>
    <w:unhideWhenUsed/>
    <w:rsid w:val="00EB6A4D"/>
    <w:pPr>
      <w:tabs>
        <w:tab w:val="center" w:pos="4252"/>
        <w:tab w:val="right" w:pos="8504"/>
      </w:tabs>
      <w:spacing w:after="0" w:line="240" w:lineRule="auto"/>
    </w:pPr>
  </w:style>
  <w:style w:type="character" w:customStyle="1" w:styleId="RodapChar">
    <w:name w:val="Rodapé Char"/>
    <w:basedOn w:val="Fontepargpadro"/>
    <w:link w:val="Rodap"/>
    <w:uiPriority w:val="99"/>
    <w:rsid w:val="00EB6A4D"/>
  </w:style>
  <w:style w:type="paragraph" w:styleId="PargrafodaLista">
    <w:name w:val="List Paragraph"/>
    <w:basedOn w:val="Normal"/>
    <w:uiPriority w:val="34"/>
    <w:qFormat/>
    <w:rsid w:val="00EB6A4D"/>
    <w:pPr>
      <w:widowControl w:val="0"/>
      <w:suppressAutoHyphens/>
      <w:spacing w:after="0" w:line="240" w:lineRule="auto"/>
      <w:ind w:left="720"/>
      <w:contextualSpacing/>
    </w:pPr>
    <w:rPr>
      <w:rFonts w:ascii="Times" w:eastAsia="DejaVu Sans" w:hAnsi="Times" w:cs="Times New Roman"/>
      <w:kern w:val="1"/>
      <w:sz w:val="24"/>
      <w:szCs w:val="24"/>
      <w:lang w:val="pt-PT"/>
    </w:rPr>
  </w:style>
  <w:style w:type="character" w:styleId="Forte">
    <w:name w:val="Strong"/>
    <w:basedOn w:val="Fontepargpadro"/>
    <w:uiPriority w:val="22"/>
    <w:qFormat/>
    <w:rsid w:val="00EB6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1422</Words>
  <Characters>7684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Cotta de Barros e Silva</dc:creator>
  <cp:keywords/>
  <dc:description/>
  <cp:lastModifiedBy>Adriano Cotta de Barros e Silva</cp:lastModifiedBy>
  <cp:revision>1</cp:revision>
  <cp:lastPrinted>2024-06-11T16:57:00Z</cp:lastPrinted>
  <dcterms:created xsi:type="dcterms:W3CDTF">2024-06-11T16:44:00Z</dcterms:created>
  <dcterms:modified xsi:type="dcterms:W3CDTF">2024-06-11T16:58:00Z</dcterms:modified>
</cp:coreProperties>
</file>