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685C" w14:textId="0C5BBAE5" w:rsidR="003E3CB4" w:rsidRPr="00D806FA" w:rsidRDefault="003E3CB4" w:rsidP="003E3CB4">
      <w:pPr>
        <w:spacing w:line="360" w:lineRule="auto"/>
        <w:jc w:val="right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Sete Lagoas, </w:t>
      </w:r>
      <w:r>
        <w:rPr>
          <w:rFonts w:ascii="Verdana" w:hAnsi="Verdana" w:cstheme="minorHAnsi"/>
          <w:sz w:val="18"/>
          <w:szCs w:val="18"/>
        </w:rPr>
        <w:t>17 de junho de 2024.</w:t>
      </w:r>
    </w:p>
    <w:p w14:paraId="6C2F7599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73BF6929" w14:textId="77777777" w:rsidR="003E3CB4" w:rsidRPr="00D806FA" w:rsidRDefault="003E3CB4" w:rsidP="003E3CB4">
      <w:pPr>
        <w:spacing w:line="360" w:lineRule="auto"/>
        <w:ind w:firstLine="1418"/>
        <w:jc w:val="both"/>
        <w:rPr>
          <w:rFonts w:ascii="Verdana" w:hAnsi="Verdana" w:cstheme="minorHAnsi"/>
          <w:b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>PARECER JURÍDICO</w:t>
      </w:r>
    </w:p>
    <w:p w14:paraId="11325065" w14:textId="77777777" w:rsidR="003E3CB4" w:rsidRPr="00D806FA" w:rsidRDefault="003E3CB4" w:rsidP="003E3CB4">
      <w:pPr>
        <w:spacing w:line="360" w:lineRule="auto"/>
        <w:ind w:firstLine="1418"/>
        <w:jc w:val="both"/>
        <w:rPr>
          <w:rFonts w:ascii="Verdana" w:hAnsi="Verdana" w:cstheme="minorHAnsi"/>
          <w:b/>
          <w:sz w:val="18"/>
          <w:szCs w:val="18"/>
        </w:rPr>
      </w:pPr>
    </w:p>
    <w:p w14:paraId="5242E7F7" w14:textId="130FEB13" w:rsidR="003E3CB4" w:rsidRPr="00D806FA" w:rsidRDefault="003E3CB4" w:rsidP="003E3CB4">
      <w:pPr>
        <w:spacing w:line="360" w:lineRule="auto"/>
        <w:ind w:firstLine="284"/>
        <w:jc w:val="both"/>
        <w:rPr>
          <w:rFonts w:ascii="Verdana" w:hAnsi="Verdana" w:cstheme="minorHAnsi"/>
          <w:bCs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 xml:space="preserve">Matéria: </w:t>
      </w:r>
      <w:r>
        <w:rPr>
          <w:rFonts w:ascii="Verdana" w:hAnsi="Verdana" w:cstheme="minorHAnsi"/>
          <w:bCs/>
          <w:sz w:val="18"/>
          <w:szCs w:val="18"/>
        </w:rPr>
        <w:t>Anteprojeto de Lei nº 264/2024.</w:t>
      </w:r>
    </w:p>
    <w:p w14:paraId="6BC9CE30" w14:textId="77777777" w:rsidR="003E3CB4" w:rsidRPr="00D806FA" w:rsidRDefault="003E3CB4" w:rsidP="003E3CB4">
      <w:pPr>
        <w:spacing w:line="360" w:lineRule="auto"/>
        <w:ind w:firstLine="284"/>
        <w:jc w:val="both"/>
        <w:rPr>
          <w:rFonts w:ascii="Verdana" w:hAnsi="Verdana" w:cstheme="minorHAnsi"/>
          <w:bCs/>
          <w:i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 xml:space="preserve">Assunto: </w:t>
      </w:r>
      <w:r w:rsidRPr="00D806FA">
        <w:rPr>
          <w:rFonts w:ascii="Verdana" w:hAnsi="Verdana" w:cstheme="minorHAnsi"/>
          <w:bCs/>
          <w:sz w:val="18"/>
          <w:szCs w:val="18"/>
        </w:rPr>
        <w:t>Solicitação de Parecer de Prejudicialidade.</w:t>
      </w:r>
    </w:p>
    <w:p w14:paraId="37F7F103" w14:textId="2994BFB2" w:rsidR="003E3CB4" w:rsidRDefault="003E3CB4" w:rsidP="003E3CB4">
      <w:pPr>
        <w:spacing w:line="360" w:lineRule="auto"/>
        <w:ind w:firstLine="284"/>
        <w:jc w:val="both"/>
        <w:rPr>
          <w:rFonts w:ascii="Verdana" w:hAnsi="Verdana" w:cstheme="minorHAnsi"/>
          <w:bCs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 xml:space="preserve">Requerimento: </w:t>
      </w:r>
      <w:r w:rsidRPr="00D806FA">
        <w:rPr>
          <w:rFonts w:ascii="Verdana" w:hAnsi="Verdana" w:cstheme="minorHAnsi"/>
          <w:bCs/>
          <w:sz w:val="18"/>
          <w:szCs w:val="18"/>
        </w:rPr>
        <w:t>Exm</w:t>
      </w:r>
      <w:r>
        <w:rPr>
          <w:rFonts w:ascii="Verdana" w:hAnsi="Verdana" w:cstheme="minorHAnsi"/>
          <w:bCs/>
          <w:sz w:val="18"/>
          <w:szCs w:val="18"/>
        </w:rPr>
        <w:t>o. Vereador Alcides Longo de Barros.</w:t>
      </w:r>
    </w:p>
    <w:p w14:paraId="4A8AD9D8" w14:textId="53A5BDDD" w:rsidR="000F7493" w:rsidRPr="000F7493" w:rsidRDefault="000F7493" w:rsidP="003E3CB4">
      <w:pPr>
        <w:spacing w:line="360" w:lineRule="auto"/>
        <w:ind w:firstLine="284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Resposta ao Ofício nº 192/2024</w:t>
      </w:r>
    </w:p>
    <w:p w14:paraId="3DE5D762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5849588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A694E76" w14:textId="77777777" w:rsidR="003E3CB4" w:rsidRPr="00D806FA" w:rsidRDefault="003E3CB4" w:rsidP="003E3CB4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>RELATÓRIO</w:t>
      </w:r>
    </w:p>
    <w:p w14:paraId="74F3C65A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470D6175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i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Encontra-se nesta Procuradoria, para análise e parecer, requerimento de Parecer acerca da temática </w:t>
      </w:r>
      <w:r w:rsidRPr="00D806FA">
        <w:rPr>
          <w:rFonts w:ascii="Verdana" w:hAnsi="Verdana" w:cstheme="minorHAnsi"/>
          <w:b/>
          <w:bCs/>
          <w:sz w:val="18"/>
          <w:szCs w:val="18"/>
        </w:rPr>
        <w:t xml:space="preserve">Prejudicialidade de Proposições na Casa Legislativa, </w:t>
      </w:r>
      <w:r w:rsidRPr="00D806FA">
        <w:rPr>
          <w:rFonts w:ascii="Verdana" w:hAnsi="Verdana" w:cstheme="minorHAnsi"/>
          <w:sz w:val="18"/>
          <w:szCs w:val="18"/>
        </w:rPr>
        <w:t xml:space="preserve">com base nos artigos 152 e 262 do Regimento Interno. </w:t>
      </w:r>
    </w:p>
    <w:p w14:paraId="67609B98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003E0B1C" w14:textId="77777777" w:rsidR="003E3CB4" w:rsidRPr="00D806FA" w:rsidRDefault="003E3CB4" w:rsidP="003E3CB4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>CONSIDERAÇÕES INICIAIS</w:t>
      </w:r>
    </w:p>
    <w:p w14:paraId="673CF26F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282D6E2F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Inicialmente, importante destacar que o exame da Procuradoria Jurídica </w:t>
      </w:r>
      <w:proofErr w:type="gramStart"/>
      <w:r w:rsidRPr="00D806FA">
        <w:rPr>
          <w:rFonts w:ascii="Verdana" w:hAnsi="Verdana" w:cstheme="minorHAnsi"/>
          <w:sz w:val="18"/>
          <w:szCs w:val="18"/>
        </w:rPr>
        <w:t>cinge-se</w:t>
      </w:r>
      <w:proofErr w:type="gramEnd"/>
      <w:r w:rsidRPr="00D806FA">
        <w:rPr>
          <w:rFonts w:ascii="Verdana" w:hAnsi="Verdana" w:cstheme="minorHAnsi"/>
          <w:sz w:val="18"/>
          <w:szCs w:val="18"/>
        </w:rPr>
        <w:t xml:space="preserve"> tão somente à matéria envolvida, nos termos da sua competência legal, tendo por base os documentos juntados, razão pela qual não incursiona em discussões de ordem técnica.</w:t>
      </w:r>
    </w:p>
    <w:p w14:paraId="71E8CB7A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</w:p>
    <w:p w14:paraId="0AD2EF53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>A Procuradoria Jurídica da Câmara de Sete Lagoas, exerce as funções de assessoramento jurídico e de orientação da Mesa Diretora, da Presidência da Casa e dos setores legislativos, através da emissão de pareceres escritos e verbais, bem como de opiniões fundamentadas objetivando a tomada de decisões, por meio de reuniões, de manifestações escritas e aconselhamentos.</w:t>
      </w:r>
    </w:p>
    <w:p w14:paraId="5933FB1F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</w:p>
    <w:p w14:paraId="3A35C867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Desse modo, a função consultiva desempenhada por esta Procuradoria não é vinculante, motivo pelo qual é possível, se for o caso, que os agentes políticos formem suas </w:t>
      </w:r>
      <w:r w:rsidRPr="00D806FA">
        <w:rPr>
          <w:rFonts w:ascii="Verdana" w:hAnsi="Verdana" w:cstheme="minorHAnsi"/>
          <w:sz w:val="18"/>
          <w:szCs w:val="18"/>
        </w:rPr>
        <w:lastRenderedPageBreak/>
        <w:t>próprias convicções em discordância com as opiniões manifestadas por meio do parecer jurídico.</w:t>
      </w:r>
    </w:p>
    <w:p w14:paraId="3C55DFB9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</w:p>
    <w:p w14:paraId="4574A0E9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>Diante desses esclarecimentos, passemos a opinar sobre a matéria apresentada.</w:t>
      </w:r>
    </w:p>
    <w:p w14:paraId="264DE948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15FB3272" w14:textId="77777777" w:rsidR="003E3CB4" w:rsidRPr="00D806FA" w:rsidRDefault="003E3CB4" w:rsidP="003E3CB4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>DA FUNDAMENTAÇÃO</w:t>
      </w:r>
    </w:p>
    <w:p w14:paraId="60CAF73C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657B9EFF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>“A Prejudicialidade se dá quando uma matéria pendente de deliberação não é mais oportuna ou já foi julgada anteriormente. Ocorre a prejudicialidade se uma proposição com teor idêntico ou muito semelhante tiver sido objeto de rejeição ou de aprovação”.</w:t>
      </w:r>
      <w:r w:rsidRPr="00D806FA">
        <w:rPr>
          <w:rFonts w:ascii="Verdana" w:hAnsi="Verdana" w:cstheme="minorHAnsi"/>
          <w:sz w:val="18"/>
          <w:szCs w:val="18"/>
        </w:rPr>
        <w:t xml:space="preserve"> (</w:t>
      </w:r>
      <w:hyperlink r:id="rId7" w:history="1">
        <w:r w:rsidRPr="00D806FA">
          <w:rPr>
            <w:rStyle w:val="Hyperlink"/>
            <w:rFonts w:ascii="Verdana" w:hAnsi="Verdana" w:cstheme="minorHAnsi"/>
            <w:color w:val="auto"/>
            <w:sz w:val="18"/>
            <w:szCs w:val="18"/>
          </w:rPr>
          <w:t>http://educacaoadistancia.camara.leg.br</w:t>
        </w:r>
      </w:hyperlink>
      <w:r w:rsidRPr="00D806FA">
        <w:rPr>
          <w:rFonts w:ascii="Verdana" w:hAnsi="Verdana" w:cstheme="minorHAnsi"/>
          <w:sz w:val="18"/>
          <w:szCs w:val="18"/>
        </w:rPr>
        <w:t>).</w:t>
      </w:r>
    </w:p>
    <w:p w14:paraId="528F938C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</w:p>
    <w:p w14:paraId="691C45D0" w14:textId="3C699AC2" w:rsidR="003E3CB4" w:rsidRPr="000F7493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O Regimento Interno desta Casa Legislativa dispõe sobre a prejudicialidade em seu artigo 262, 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in </w:t>
      </w:r>
      <w:proofErr w:type="spellStart"/>
      <w:r w:rsidRPr="00D806FA">
        <w:rPr>
          <w:rFonts w:ascii="Verdana" w:hAnsi="Verdana" w:cstheme="minorHAnsi"/>
          <w:i/>
          <w:iCs/>
          <w:sz w:val="18"/>
          <w:szCs w:val="18"/>
        </w:rPr>
        <w:t>verbis</w:t>
      </w:r>
      <w:proofErr w:type="spellEnd"/>
      <w:r w:rsidRPr="00D806FA">
        <w:rPr>
          <w:rFonts w:ascii="Verdana" w:hAnsi="Verdana" w:cstheme="minorHAnsi"/>
          <w:i/>
          <w:iCs/>
          <w:sz w:val="18"/>
          <w:szCs w:val="18"/>
        </w:rPr>
        <w:t>:</w:t>
      </w:r>
      <w:r w:rsidR="000F7493">
        <w:rPr>
          <w:rFonts w:ascii="Verdana" w:hAnsi="Verdana" w:cstheme="minorHAnsi"/>
          <w:sz w:val="18"/>
          <w:szCs w:val="18"/>
        </w:rPr>
        <w:t xml:space="preserve"> (Nova Redação através da Resolução 1216/2023)</w:t>
      </w:r>
    </w:p>
    <w:p w14:paraId="7CAF223D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5C16AA8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DA PREJUDICIALIDADE </w:t>
      </w:r>
    </w:p>
    <w:p w14:paraId="48258978" w14:textId="77777777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>Art. 262 - Consideram-se prejudicados:</w:t>
      </w:r>
    </w:p>
    <w:p w14:paraId="6317A3A6" w14:textId="77777777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I - </w:t>
      </w:r>
      <w:proofErr w:type="gramStart"/>
      <w:r w:rsidRPr="00D806FA">
        <w:rPr>
          <w:rFonts w:ascii="Verdana" w:hAnsi="Verdana" w:cstheme="minorHAnsi"/>
          <w:i/>
          <w:iCs/>
          <w:sz w:val="18"/>
          <w:szCs w:val="18"/>
        </w:rPr>
        <w:t>a</w:t>
      </w:r>
      <w:proofErr w:type="gramEnd"/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discussão ou a votação de </w:t>
      </w:r>
      <w:r w:rsidRPr="00D806FA">
        <w:rPr>
          <w:rFonts w:ascii="Verdana" w:hAnsi="Verdana" w:cstheme="minorHAnsi"/>
          <w:b/>
          <w:bCs/>
          <w:i/>
          <w:iCs/>
          <w:sz w:val="18"/>
          <w:szCs w:val="18"/>
        </w:rPr>
        <w:t>proposição idêntica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a outra que tenha sido aprovada, ou rejeitada na mesma Sessão Legislativa;</w:t>
      </w:r>
    </w:p>
    <w:p w14:paraId="1CEDF617" w14:textId="77777777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II - </w:t>
      </w:r>
      <w:proofErr w:type="gramStart"/>
      <w:r w:rsidRPr="00D806FA">
        <w:rPr>
          <w:rFonts w:ascii="Verdana" w:hAnsi="Verdana" w:cstheme="minorHAnsi"/>
          <w:i/>
          <w:iCs/>
          <w:sz w:val="18"/>
          <w:szCs w:val="18"/>
        </w:rPr>
        <w:t>a</w:t>
      </w:r>
      <w:proofErr w:type="gramEnd"/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discussão ou a votação de </w:t>
      </w:r>
      <w:r w:rsidRPr="00D806FA">
        <w:rPr>
          <w:rFonts w:ascii="Verdana" w:hAnsi="Verdana" w:cstheme="minorHAnsi"/>
          <w:b/>
          <w:bCs/>
          <w:i/>
          <w:iCs/>
          <w:sz w:val="18"/>
          <w:szCs w:val="18"/>
        </w:rPr>
        <w:t>proposição semelhante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a outra considerada </w:t>
      </w:r>
      <w:r w:rsidRPr="00D806FA">
        <w:rPr>
          <w:rFonts w:ascii="Verdana" w:hAnsi="Verdana" w:cstheme="minorHAnsi"/>
          <w:b/>
          <w:bCs/>
          <w:i/>
          <w:iCs/>
          <w:sz w:val="18"/>
          <w:szCs w:val="18"/>
        </w:rPr>
        <w:t>inconstitucional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pelo Plenário; </w:t>
      </w:r>
    </w:p>
    <w:p w14:paraId="7006A193" w14:textId="719AB6A7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III - a discussão ou </w:t>
      </w:r>
      <w:r>
        <w:rPr>
          <w:rFonts w:ascii="Verdana" w:hAnsi="Verdana" w:cstheme="minorHAnsi"/>
          <w:i/>
          <w:iCs/>
          <w:sz w:val="18"/>
          <w:szCs w:val="18"/>
        </w:rPr>
        <w:t xml:space="preserve">votação de proposição apensa quando a precedente aprovada for idêntica ou de finalidade oposta ou incompatível </w:t>
      </w:r>
      <w:r w:rsidR="000F7493">
        <w:rPr>
          <w:rFonts w:ascii="Verdana" w:hAnsi="Verdana" w:cstheme="minorHAnsi"/>
          <w:i/>
          <w:iCs/>
          <w:sz w:val="18"/>
          <w:szCs w:val="18"/>
        </w:rPr>
        <w:t>à apensada.</w:t>
      </w:r>
    </w:p>
    <w:p w14:paraId="497180B5" w14:textId="0F46A025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IV </w:t>
      </w:r>
      <w:r w:rsidR="000F7493">
        <w:rPr>
          <w:rFonts w:ascii="Verdana" w:hAnsi="Verdana" w:cstheme="minorHAnsi"/>
          <w:i/>
          <w:iCs/>
          <w:sz w:val="18"/>
          <w:szCs w:val="18"/>
        </w:rPr>
        <w:t>–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</w:t>
      </w:r>
      <w:proofErr w:type="gramStart"/>
      <w:r w:rsidR="000F7493">
        <w:rPr>
          <w:rFonts w:ascii="Verdana" w:hAnsi="Verdana" w:cstheme="minorHAnsi"/>
          <w:i/>
          <w:iCs/>
          <w:sz w:val="18"/>
          <w:szCs w:val="18"/>
        </w:rPr>
        <w:t>a</w:t>
      </w:r>
      <w:proofErr w:type="gramEnd"/>
      <w:r w:rsidR="000F7493">
        <w:rPr>
          <w:rFonts w:ascii="Verdana" w:hAnsi="Verdana" w:cstheme="minorHAnsi"/>
          <w:i/>
          <w:iCs/>
          <w:sz w:val="18"/>
          <w:szCs w:val="18"/>
        </w:rPr>
        <w:t xml:space="preserve"> discussão ou votação de proposição apensa quando a precedente rejeitada for idêntica à apensada.</w:t>
      </w:r>
    </w:p>
    <w:p w14:paraId="226386C8" w14:textId="090FE5E3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V - </w:t>
      </w:r>
      <w:proofErr w:type="gramStart"/>
      <w:r w:rsidRPr="00D806FA">
        <w:rPr>
          <w:rFonts w:ascii="Verdana" w:hAnsi="Verdana" w:cstheme="minorHAnsi"/>
          <w:i/>
          <w:iCs/>
          <w:sz w:val="18"/>
          <w:szCs w:val="18"/>
        </w:rPr>
        <w:t>a</w:t>
      </w:r>
      <w:proofErr w:type="gramEnd"/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="000F7493">
        <w:rPr>
          <w:rFonts w:ascii="Verdana" w:hAnsi="Verdana" w:cstheme="minorHAnsi"/>
          <w:i/>
          <w:iCs/>
          <w:sz w:val="18"/>
          <w:szCs w:val="18"/>
        </w:rPr>
        <w:t>proposição com as respectivas emendas que tiver substitutivo aprovado ou rejeitada;</w:t>
      </w:r>
    </w:p>
    <w:p w14:paraId="5F367721" w14:textId="645A2DEC" w:rsidR="003E3CB4" w:rsidRPr="00D806FA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VI - </w:t>
      </w:r>
      <w:proofErr w:type="gramStart"/>
      <w:r w:rsidRPr="00D806FA">
        <w:rPr>
          <w:rFonts w:ascii="Verdana" w:hAnsi="Verdana" w:cstheme="minorHAnsi"/>
          <w:i/>
          <w:iCs/>
          <w:sz w:val="18"/>
          <w:szCs w:val="18"/>
        </w:rPr>
        <w:t>a</w:t>
      </w:r>
      <w:proofErr w:type="gramEnd"/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emen</w:t>
      </w:r>
      <w:r w:rsidR="000F7493">
        <w:rPr>
          <w:rFonts w:ascii="Verdana" w:hAnsi="Verdana" w:cstheme="minorHAnsi"/>
          <w:i/>
          <w:iCs/>
          <w:sz w:val="18"/>
          <w:szCs w:val="18"/>
        </w:rPr>
        <w:t>da ou a subemenda de matéria idêntica à de outra aprovada ou rejeitada;</w:t>
      </w:r>
    </w:p>
    <w:p w14:paraId="478509F9" w14:textId="54D94BE8" w:rsidR="003E3CB4" w:rsidRDefault="003E3CB4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VII </w:t>
      </w:r>
      <w:r w:rsidR="000F7493">
        <w:rPr>
          <w:rFonts w:ascii="Verdana" w:hAnsi="Verdana" w:cstheme="minorHAnsi"/>
          <w:i/>
          <w:iCs/>
          <w:sz w:val="18"/>
          <w:szCs w:val="18"/>
        </w:rPr>
        <w:t>–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="000F7493">
        <w:rPr>
          <w:rFonts w:ascii="Verdana" w:hAnsi="Verdana" w:cstheme="minorHAnsi"/>
          <w:i/>
          <w:iCs/>
          <w:sz w:val="18"/>
          <w:szCs w:val="18"/>
        </w:rPr>
        <w:t>a emenda ou subemenda de sentido contrário ao de outra de dispositivo aprovado;</w:t>
      </w:r>
    </w:p>
    <w:p w14:paraId="6E3D00C1" w14:textId="09FFFC9C" w:rsidR="000F7493" w:rsidRDefault="000F7493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>
        <w:rPr>
          <w:rFonts w:ascii="Verdana" w:hAnsi="Verdana" w:cstheme="minorHAnsi"/>
          <w:i/>
          <w:iCs/>
          <w:sz w:val="18"/>
          <w:szCs w:val="18"/>
        </w:rPr>
        <w:lastRenderedPageBreak/>
        <w:t>VIII- o requerimento com a mesma finalidade ou finalidade oposta ao de outro aprovado.</w:t>
      </w:r>
    </w:p>
    <w:p w14:paraId="3C8A9AC1" w14:textId="2F41EB35" w:rsidR="000F7493" w:rsidRDefault="000F7493" w:rsidP="003E3CB4">
      <w:pPr>
        <w:spacing w:line="360" w:lineRule="auto"/>
        <w:ind w:left="709"/>
        <w:jc w:val="both"/>
        <w:rPr>
          <w:rFonts w:ascii="Verdana" w:hAnsi="Verdana" w:cstheme="minorHAnsi"/>
          <w:i/>
          <w:iCs/>
          <w:sz w:val="18"/>
          <w:szCs w:val="18"/>
        </w:rPr>
      </w:pPr>
      <w:r>
        <w:rPr>
          <w:rFonts w:ascii="Verdana" w:hAnsi="Verdana" w:cstheme="minorHAnsi"/>
          <w:i/>
          <w:iCs/>
          <w:sz w:val="18"/>
          <w:szCs w:val="18"/>
        </w:rPr>
        <w:t xml:space="preserve">IX- </w:t>
      </w:r>
      <w:proofErr w:type="gramStart"/>
      <w:r>
        <w:rPr>
          <w:rFonts w:ascii="Verdana" w:hAnsi="Verdana" w:cstheme="minorHAnsi"/>
          <w:i/>
          <w:iCs/>
          <w:sz w:val="18"/>
          <w:szCs w:val="18"/>
        </w:rPr>
        <w:t>a</w:t>
      </w:r>
      <w:proofErr w:type="gramEnd"/>
      <w:r>
        <w:rPr>
          <w:rFonts w:ascii="Verdana" w:hAnsi="Verdana" w:cstheme="minorHAnsi"/>
          <w:i/>
          <w:iCs/>
          <w:sz w:val="18"/>
          <w:szCs w:val="18"/>
        </w:rPr>
        <w:t xml:space="preserve"> emenda ou parte de proposição incompatível com matéria aprovada em votação destacada;</w:t>
      </w:r>
    </w:p>
    <w:p w14:paraId="0EE927A0" w14:textId="440C9B61" w:rsidR="000F7493" w:rsidRPr="000F7493" w:rsidRDefault="000F7493" w:rsidP="003E3CB4">
      <w:pPr>
        <w:spacing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i/>
          <w:iCs/>
          <w:sz w:val="18"/>
          <w:szCs w:val="18"/>
        </w:rPr>
        <w:t xml:space="preserve">Parágrafo único: </w:t>
      </w:r>
      <w:r>
        <w:rPr>
          <w:rFonts w:ascii="Verdana" w:hAnsi="Verdana" w:cstheme="minorHAnsi"/>
          <w:b/>
          <w:bCs/>
          <w:i/>
          <w:iCs/>
          <w:sz w:val="18"/>
          <w:szCs w:val="18"/>
        </w:rPr>
        <w:t xml:space="preserve">Consideram-se idênticas as proposições do </w:t>
      </w:r>
      <w:r>
        <w:rPr>
          <w:rFonts w:ascii="Verdana" w:hAnsi="Verdana" w:cstheme="minorHAnsi"/>
          <w:b/>
          <w:bCs/>
          <w:i/>
          <w:iCs/>
          <w:sz w:val="18"/>
          <w:szCs w:val="18"/>
          <w:u w:val="single"/>
        </w:rPr>
        <w:t>mesmo tipo,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i/>
          <w:iCs/>
          <w:sz w:val="18"/>
          <w:szCs w:val="18"/>
        </w:rPr>
        <w:t xml:space="preserve">natureza e objeto, e semelhantes as proposições do mesmo tipo cujo objeto e matéria sejam semelhantes, todavia não idênticas”. </w:t>
      </w:r>
      <w:r>
        <w:rPr>
          <w:rFonts w:ascii="Verdana" w:hAnsi="Verdana" w:cstheme="minorHAnsi"/>
          <w:sz w:val="18"/>
          <w:szCs w:val="18"/>
        </w:rPr>
        <w:t>(Grifei).</w:t>
      </w:r>
    </w:p>
    <w:p w14:paraId="55DC7F41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070ACCBD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Pois bem, 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prima face </w:t>
      </w:r>
      <w:r w:rsidRPr="00D806FA">
        <w:rPr>
          <w:rFonts w:ascii="Verdana" w:hAnsi="Verdana" w:cstheme="minorHAnsi"/>
          <w:sz w:val="18"/>
          <w:szCs w:val="18"/>
        </w:rPr>
        <w:t xml:space="preserve">necessário tecer conceitos sobre proposições </w:t>
      </w:r>
      <w:r w:rsidRPr="00D806FA">
        <w:rPr>
          <w:rFonts w:ascii="Verdana" w:hAnsi="Verdana" w:cstheme="minorHAnsi"/>
          <w:b/>
          <w:bCs/>
          <w:sz w:val="18"/>
          <w:szCs w:val="18"/>
        </w:rPr>
        <w:t xml:space="preserve">idênticas e semelhantes, </w:t>
      </w:r>
      <w:r w:rsidRPr="00D806FA">
        <w:rPr>
          <w:rFonts w:ascii="Verdana" w:hAnsi="Verdana" w:cstheme="minorHAnsi"/>
          <w:sz w:val="18"/>
          <w:szCs w:val="18"/>
        </w:rPr>
        <w:t>vejamos:</w:t>
      </w:r>
    </w:p>
    <w:p w14:paraId="445D2642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44918346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 xml:space="preserve">Segundo definição do dicionário </w:t>
      </w:r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 xml:space="preserve">Oxford </w:t>
      </w:r>
      <w:proofErr w:type="spellStart"/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>languages</w:t>
      </w:r>
      <w:proofErr w:type="spellEnd"/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 xml:space="preserve">, </w:t>
      </w:r>
      <w:r w:rsidRPr="00D806FA">
        <w:rPr>
          <w:rFonts w:ascii="Verdana" w:eastAsia="Times New Roman" w:hAnsi="Verdana" w:cstheme="minorHAnsi"/>
          <w:sz w:val="18"/>
          <w:szCs w:val="18"/>
          <w:lang w:eastAsia="pt-BR"/>
        </w:rPr>
        <w:t>idêntico é:</w:t>
      </w:r>
    </w:p>
    <w:p w14:paraId="1D65F158" w14:textId="77777777" w:rsidR="003E3CB4" w:rsidRPr="00D806FA" w:rsidRDefault="003E3CB4" w:rsidP="003E3CB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>1.</w:t>
      </w:r>
    </w:p>
    <w:p w14:paraId="6AE8796F" w14:textId="77777777" w:rsidR="003E3CB4" w:rsidRPr="00D806FA" w:rsidRDefault="003E3CB4" w:rsidP="003E3CB4">
      <w:pPr>
        <w:shd w:val="clear" w:color="auto" w:fill="FFFFFF"/>
        <w:spacing w:after="0" w:line="240" w:lineRule="atLeast"/>
        <w:ind w:left="1020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>que em nada difere de outro ou de outros.</w:t>
      </w:r>
    </w:p>
    <w:p w14:paraId="73878790" w14:textId="77777777" w:rsidR="003E3CB4" w:rsidRPr="00D806FA" w:rsidRDefault="003E3CB4" w:rsidP="003E3CB4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</w:p>
    <w:p w14:paraId="3168A36A" w14:textId="77777777" w:rsidR="003E3CB4" w:rsidRPr="00D806FA" w:rsidRDefault="003E3CB4" w:rsidP="003E3CB4">
      <w:pPr>
        <w:pStyle w:val="PargrafodaLista"/>
        <w:numPr>
          <w:ilvl w:val="0"/>
          <w:numId w:val="2"/>
        </w:numPr>
        <w:shd w:val="clear" w:color="auto" w:fill="FFFFFF"/>
        <w:spacing w:line="240" w:lineRule="atLeast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>2</w:t>
      </w:r>
    </w:p>
    <w:p w14:paraId="1651D5FA" w14:textId="77777777" w:rsidR="003E3CB4" w:rsidRPr="00D806FA" w:rsidRDefault="003E3CB4" w:rsidP="003E3CB4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</w:p>
    <w:p w14:paraId="5C8AA1B3" w14:textId="77777777" w:rsidR="003E3CB4" w:rsidRPr="00D806FA" w:rsidRDefault="003E3CB4" w:rsidP="003E3CB4">
      <w:pPr>
        <w:shd w:val="clear" w:color="auto" w:fill="FFFFFF"/>
        <w:spacing w:after="0" w:line="240" w:lineRule="atLeast"/>
        <w:ind w:left="1020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>que em nada difere de si próprio, por comparação com outra ocasião ou situação; imutável, inalterável.</w:t>
      </w:r>
    </w:p>
    <w:p w14:paraId="4D6A2D9D" w14:textId="77777777" w:rsidR="003E3CB4" w:rsidRPr="00D806FA" w:rsidRDefault="003E3CB4" w:rsidP="003E3CB4">
      <w:pPr>
        <w:shd w:val="clear" w:color="auto" w:fill="FFFFFF"/>
        <w:spacing w:after="0" w:line="240" w:lineRule="atLeast"/>
        <w:ind w:left="1020"/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i/>
          <w:iCs/>
          <w:sz w:val="18"/>
          <w:szCs w:val="18"/>
          <w:lang w:eastAsia="pt-BR"/>
        </w:rPr>
        <w:t>"meus sentimentos continuam i."</w:t>
      </w:r>
    </w:p>
    <w:p w14:paraId="7D64B4DA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1B7B00B7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>Já a definição da palavra “semelhante”, segundo o mesmo dicionário acima citado, é:</w:t>
      </w:r>
    </w:p>
    <w:p w14:paraId="58D72726" w14:textId="77777777" w:rsidR="003E3CB4" w:rsidRPr="00D806FA" w:rsidRDefault="003E3CB4" w:rsidP="003E3CB4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>1.</w:t>
      </w:r>
    </w:p>
    <w:p w14:paraId="5105BF42" w14:textId="77777777" w:rsidR="003E3CB4" w:rsidRPr="00D806FA" w:rsidRDefault="003E3CB4" w:rsidP="003E3CB4">
      <w:pPr>
        <w:shd w:val="clear" w:color="auto" w:fill="FFFFFF"/>
        <w:spacing w:after="0" w:line="240" w:lineRule="atLeast"/>
        <w:ind w:left="1020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>que é da mesma espécie, qualidade, natureza ou forma, em relação a outro ser ou coisa; similar.</w:t>
      </w:r>
    </w:p>
    <w:p w14:paraId="64873ABD" w14:textId="77777777" w:rsidR="003E3CB4" w:rsidRPr="00D806FA" w:rsidRDefault="003E3CB4" w:rsidP="003E3CB4">
      <w:pPr>
        <w:shd w:val="clear" w:color="auto" w:fill="FFFFFF"/>
        <w:spacing w:after="0" w:line="240" w:lineRule="atLeast"/>
        <w:ind w:left="1020"/>
        <w:rPr>
          <w:rFonts w:ascii="Verdana" w:eastAsia="Times New Roman" w:hAnsi="Verdana" w:cstheme="minorHAnsi"/>
          <w:color w:val="70757A"/>
          <w:sz w:val="18"/>
          <w:szCs w:val="18"/>
          <w:lang w:eastAsia="pt-BR"/>
        </w:rPr>
      </w:pPr>
    </w:p>
    <w:p w14:paraId="32E556DA" w14:textId="77777777" w:rsidR="003E3CB4" w:rsidRPr="00D806FA" w:rsidRDefault="003E3CB4" w:rsidP="003E3CB4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>2.</w:t>
      </w:r>
    </w:p>
    <w:p w14:paraId="2341BC25" w14:textId="77777777" w:rsidR="003E3CB4" w:rsidRPr="00D806FA" w:rsidRDefault="003E3CB4" w:rsidP="003E3CB4">
      <w:pPr>
        <w:shd w:val="clear" w:color="auto" w:fill="FFFFFF"/>
        <w:spacing w:after="0" w:line="240" w:lineRule="atLeast"/>
        <w:ind w:left="1020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que é muito parecido; </w:t>
      </w:r>
    </w:p>
    <w:p w14:paraId="2BDB8DD7" w14:textId="77777777" w:rsidR="003E3CB4" w:rsidRPr="00D806FA" w:rsidRDefault="003E3CB4" w:rsidP="003E3CB4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</w:p>
    <w:p w14:paraId="20DD4600" w14:textId="77777777" w:rsidR="003E3CB4" w:rsidRPr="00D806FA" w:rsidRDefault="003E3CB4" w:rsidP="003E3CB4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</w:p>
    <w:p w14:paraId="63D3401F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>Desta maneira, temos que proposições idênticas são aquelas em que nada difere de outra, nem tampouco por vias comparativas. Por sua vez, chega-se à conclusão que proposições semelhantes são aquelas que possuem similaridade e/ou equivalência.</w:t>
      </w:r>
    </w:p>
    <w:p w14:paraId="3A4FC219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</w:p>
    <w:p w14:paraId="20D614F2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b/>
          <w:bCs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De acordo com o artigo 262, I do RICMSL a proposição idêntica, isto é, sem qualquer tipo de diferenciação de outro projeto de lei que já tenha sido aprovada ou rejeitada, </w:t>
      </w:r>
      <w:r w:rsidRPr="00D806FA">
        <w:rPr>
          <w:rFonts w:ascii="Verdana" w:eastAsia="Times New Roman" w:hAnsi="Verdana" w:cstheme="minorHAnsi"/>
          <w:color w:val="202124"/>
          <w:sz w:val="18"/>
          <w:szCs w:val="18"/>
          <w:u w:val="single"/>
          <w:lang w:eastAsia="pt-BR"/>
        </w:rPr>
        <w:t>desde que seja na mesma Sessão Legislativa,</w:t>
      </w: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 </w:t>
      </w:r>
      <w:r w:rsidRPr="00D806FA">
        <w:rPr>
          <w:rFonts w:ascii="Verdana" w:eastAsia="Times New Roman" w:hAnsi="Verdana" w:cstheme="minorHAnsi"/>
          <w:b/>
          <w:bCs/>
          <w:color w:val="202124"/>
          <w:sz w:val="18"/>
          <w:szCs w:val="18"/>
          <w:lang w:eastAsia="pt-BR"/>
        </w:rPr>
        <w:t>será considerada PREJUDICADA.</w:t>
      </w:r>
    </w:p>
    <w:p w14:paraId="4FEE55EA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b/>
          <w:bCs/>
          <w:color w:val="202124"/>
          <w:sz w:val="18"/>
          <w:szCs w:val="18"/>
          <w:lang w:eastAsia="pt-BR"/>
        </w:rPr>
      </w:pPr>
    </w:p>
    <w:p w14:paraId="0562CF39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Nesta esteira, se a proposição se tratar da mesma matéria, porém, com situações/descrições similares ou análogas, ela será considerada semelhante e, por </w:t>
      </w: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lastRenderedPageBreak/>
        <w:t xml:space="preserve">consequência, será considerada prejudicada </w:t>
      </w:r>
      <w:r w:rsidRPr="00D806FA">
        <w:rPr>
          <w:rFonts w:ascii="Verdana" w:eastAsia="Times New Roman" w:hAnsi="Verdana" w:cstheme="minorHAnsi"/>
          <w:b/>
          <w:bCs/>
          <w:color w:val="202124"/>
          <w:sz w:val="18"/>
          <w:szCs w:val="18"/>
          <w:lang w:eastAsia="pt-BR"/>
        </w:rPr>
        <w:t>apenas</w:t>
      </w: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 se outra proposição já tiver sido discutida ou aprovada INCONSTITUCIONAL pelo Plenário, </w:t>
      </w:r>
      <w:r w:rsidRPr="00D806FA">
        <w:rPr>
          <w:rFonts w:ascii="Verdana" w:eastAsia="Times New Roman" w:hAnsi="Verdana" w:cstheme="minorHAnsi"/>
          <w:color w:val="202124"/>
          <w:sz w:val="18"/>
          <w:szCs w:val="18"/>
          <w:u w:val="single"/>
          <w:lang w:eastAsia="pt-BR"/>
        </w:rPr>
        <w:t>independentemente</w:t>
      </w: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 se na mesma sessão legislativa, ressalvada as demais hipóteses de prejudicialidade contida no artigo supramencionado que, diga-se, exigem que tenha havido uma análise jurídica ou meritória da emenda prejulgada.</w:t>
      </w:r>
    </w:p>
    <w:p w14:paraId="3AB46FAF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</w:p>
    <w:p w14:paraId="372D6C55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</w:p>
    <w:p w14:paraId="64A1D7F6" w14:textId="65EDD8A1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  <w:r w:rsidRPr="00D806FA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>Todavia, há de se observar o que descreve o artigo 152 do mesmo Diploma Legal mencionado:</w:t>
      </w:r>
      <w:r w:rsidR="000F7493"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  <w:t xml:space="preserve"> (Nova redação dada através da Resolução 1216/2023).</w:t>
      </w:r>
    </w:p>
    <w:p w14:paraId="2FE6E577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theme="minorHAnsi"/>
          <w:color w:val="202124"/>
          <w:sz w:val="18"/>
          <w:szCs w:val="18"/>
          <w:lang w:eastAsia="pt-BR"/>
        </w:rPr>
      </w:pPr>
    </w:p>
    <w:p w14:paraId="47FDCBB0" w14:textId="56EC4F87" w:rsidR="003E3CB4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“Art. 152 </w:t>
      </w:r>
      <w:r w:rsidR="000F7493">
        <w:rPr>
          <w:rFonts w:ascii="Verdana" w:hAnsi="Verdana" w:cstheme="minorHAnsi"/>
          <w:i/>
          <w:iCs/>
          <w:sz w:val="18"/>
          <w:szCs w:val="18"/>
        </w:rPr>
        <w:t>–</w:t>
      </w:r>
      <w:r w:rsidRPr="00D806FA"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="000F7493">
        <w:rPr>
          <w:rFonts w:ascii="Verdana" w:hAnsi="Verdana" w:cstheme="minorHAnsi"/>
          <w:i/>
          <w:iCs/>
          <w:sz w:val="18"/>
          <w:szCs w:val="18"/>
        </w:rPr>
        <w:t>As proposições do mesmo tipo, que tratem de matéria semelhante a outra em tramitação, serão distribuídas por dependência e apensadas para apreciação conjunta, observando-se o seguinte:</w:t>
      </w:r>
    </w:p>
    <w:p w14:paraId="42B3C14A" w14:textId="050B0628" w:rsidR="000F7493" w:rsidRPr="000F7493" w:rsidRDefault="000F7493" w:rsidP="000F7493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4CE3212C" w14:textId="77777777" w:rsidR="000F7493" w:rsidRPr="000F7493" w:rsidRDefault="000F7493" w:rsidP="000F7493">
      <w:pPr>
        <w:pStyle w:val="PargrafodaLista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terá precedência a mais antiga sobre a mais recente das proposições em tramitação; </w:t>
      </w:r>
    </w:p>
    <w:p w14:paraId="407C63BC" w14:textId="77777777" w:rsidR="000F7493" w:rsidRPr="000F7493" w:rsidRDefault="000F7493" w:rsidP="000F7493">
      <w:pPr>
        <w:pStyle w:val="PargrafodaLista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ao processo que tiver precedência serão apensos, sem incorporação, os demais; </w:t>
      </w:r>
    </w:p>
    <w:p w14:paraId="7F0AF976" w14:textId="77777777" w:rsidR="000F7493" w:rsidRPr="000F7493" w:rsidRDefault="000F7493" w:rsidP="000F7493">
      <w:pPr>
        <w:pStyle w:val="PargrafodaLista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o regime especial de uma delas se estenderá às demais que lhe sejam apensas. </w:t>
      </w:r>
    </w:p>
    <w:p w14:paraId="63111FB9" w14:textId="77777777" w:rsidR="000F7493" w:rsidRPr="000F7493" w:rsidRDefault="000F7493" w:rsidP="000F7493">
      <w:pPr>
        <w:pStyle w:val="PargrafodaLista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não poderá ocorrer o apensamento, tramitando as proposições em separado, nas hipóteses em que, por equívoco não verificado até a manifestação da primeira comissão sobre a proposição, quanto às já apresentadas até aquela data, ou que sejam apresentadas após a manifestação. </w:t>
      </w:r>
    </w:p>
    <w:p w14:paraId="22FADFCA" w14:textId="77777777" w:rsidR="000F7493" w:rsidRPr="000F7493" w:rsidRDefault="000F7493" w:rsidP="000F7493">
      <w:pPr>
        <w:pStyle w:val="PargrafodaLista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sobre as proposições apensadas cada comissão responsável pela análise apresentarão um único parecer, analisando-as conjuntamente; </w:t>
      </w:r>
    </w:p>
    <w:p w14:paraId="0D680B39" w14:textId="77777777" w:rsidR="000F7493" w:rsidRPr="000F7493" w:rsidRDefault="000F7493" w:rsidP="000F7493">
      <w:pPr>
        <w:spacing w:after="120" w:line="360" w:lineRule="auto"/>
        <w:ind w:left="1003" w:hanging="436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§ 1º A distribuição por dependência ocorrerá de forma automática, por deliberação da presidência ou a requerimento fundamentado de qualquer vereador que verificar ter ocorrido equívoco na distribuição por dependência; </w:t>
      </w:r>
    </w:p>
    <w:p w14:paraId="6B833E14" w14:textId="77777777" w:rsidR="000F7493" w:rsidRPr="000F7493" w:rsidRDefault="000F7493" w:rsidP="000F7493">
      <w:pPr>
        <w:spacing w:after="120" w:line="360" w:lineRule="auto"/>
        <w:ind w:left="1003" w:hanging="436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§ 2º Eventual equívoco na distribuição que comine na tramitação em separado das proposições semelhantes não constituirá razão de nulidade de tramitação, ressalvadas as hipóteses em que o autor da proposição ou qualquer interessado tenha apontado o equívoco antes da manifestação da primeira comissão sobre a proposição. </w:t>
      </w:r>
    </w:p>
    <w:p w14:paraId="24F18432" w14:textId="77777777" w:rsidR="000F7493" w:rsidRPr="000F7493" w:rsidRDefault="000F7493" w:rsidP="000F7493">
      <w:pPr>
        <w:spacing w:after="120" w:line="360" w:lineRule="auto"/>
        <w:ind w:left="1003" w:hanging="436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 xml:space="preserve">§ 3º Poderão ter sua tramitação rejeitada, de plano, por despacho da presidência, quando se verificarem as hipóteses de prejudicialidade, cabendo recurso ao plenário da decisão do presidente, nos termos deste regimento.  </w:t>
      </w:r>
    </w:p>
    <w:p w14:paraId="6069409D" w14:textId="77777777" w:rsidR="000F7493" w:rsidRPr="000F7493" w:rsidRDefault="000F7493" w:rsidP="000F7493">
      <w:pPr>
        <w:spacing w:after="120" w:line="360" w:lineRule="auto"/>
        <w:ind w:left="1003" w:hanging="436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F7493">
        <w:rPr>
          <w:rFonts w:ascii="Verdana" w:hAnsi="Verdana" w:cstheme="minorHAnsi"/>
          <w:i/>
          <w:iCs/>
          <w:sz w:val="18"/>
          <w:szCs w:val="18"/>
        </w:rPr>
        <w:t>§ 4º Não se submetem a distribuição por dependência e apensamento as proposições por extensão, previstas no parágrafo único do art. 144 deste Regimento Interno.</w:t>
      </w:r>
    </w:p>
    <w:p w14:paraId="12F7F0F2" w14:textId="77777777" w:rsidR="000F7493" w:rsidRPr="00D806FA" w:rsidRDefault="000F7493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E7C0763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1AF174E0" w14:textId="4C650FF9" w:rsidR="003E3CB4" w:rsidRPr="000F7493" w:rsidRDefault="000F7493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lastRenderedPageBreak/>
        <w:t xml:space="preserve">Em sendo assim, verifica-se que as proposições em análise </w:t>
      </w:r>
      <w:r>
        <w:rPr>
          <w:rFonts w:ascii="Verdana" w:hAnsi="Verdana" w:cstheme="minorHAnsi"/>
          <w:b/>
          <w:bCs/>
          <w:sz w:val="18"/>
          <w:szCs w:val="18"/>
        </w:rPr>
        <w:t xml:space="preserve">NÃO SÃO DO MESMO TIPO, </w:t>
      </w:r>
      <w:r>
        <w:rPr>
          <w:rFonts w:ascii="Verdana" w:hAnsi="Verdana" w:cstheme="minorHAnsi"/>
          <w:sz w:val="18"/>
          <w:szCs w:val="18"/>
        </w:rPr>
        <w:t>isto é, uma se trata de anteprojeto de lei, ao passo que a outra se trata de Pedido de Providência, o que, por si só, em nosso sentir, afasta a caracterização da prejudicialidade, salvo melhor juízo.</w:t>
      </w:r>
    </w:p>
    <w:p w14:paraId="3C1D86E6" w14:textId="77777777" w:rsidR="003E3CB4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53CCF102" w14:textId="04324A58" w:rsidR="003E3CB4" w:rsidRDefault="000F7493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Além disso</w:t>
      </w:r>
      <w:r w:rsidR="003E3CB4">
        <w:rPr>
          <w:rFonts w:ascii="Verdana" w:hAnsi="Verdana" w:cstheme="minorHAnsi"/>
          <w:sz w:val="18"/>
          <w:szCs w:val="18"/>
        </w:rPr>
        <w:t xml:space="preserve">, feitas as considerações acima, temos que o </w:t>
      </w:r>
      <w:proofErr w:type="spellStart"/>
      <w:r>
        <w:rPr>
          <w:rFonts w:ascii="Verdana" w:hAnsi="Verdana" w:cstheme="minorHAnsi"/>
          <w:sz w:val="18"/>
          <w:szCs w:val="18"/>
        </w:rPr>
        <w:t>Ante</w:t>
      </w:r>
      <w:r w:rsidR="003E3CB4">
        <w:rPr>
          <w:rFonts w:ascii="Verdana" w:hAnsi="Verdana" w:cstheme="minorHAnsi"/>
          <w:sz w:val="18"/>
          <w:szCs w:val="18"/>
        </w:rPr>
        <w:t>rojeto</w:t>
      </w:r>
      <w:proofErr w:type="spellEnd"/>
      <w:r w:rsidR="003E3CB4">
        <w:rPr>
          <w:rFonts w:ascii="Verdana" w:hAnsi="Verdana" w:cstheme="minorHAnsi"/>
          <w:sz w:val="18"/>
          <w:szCs w:val="18"/>
        </w:rPr>
        <w:t xml:space="preserve"> de Lei nº 2</w:t>
      </w:r>
      <w:r>
        <w:rPr>
          <w:rFonts w:ascii="Verdana" w:hAnsi="Verdana" w:cstheme="minorHAnsi"/>
          <w:sz w:val="18"/>
          <w:szCs w:val="18"/>
        </w:rPr>
        <w:t>64</w:t>
      </w:r>
      <w:r w:rsidR="003E3CB4">
        <w:rPr>
          <w:rFonts w:ascii="Verdana" w:hAnsi="Verdana" w:cstheme="minorHAnsi"/>
          <w:sz w:val="18"/>
          <w:szCs w:val="18"/>
        </w:rPr>
        <w:t>/2024 não possui condições de igualdade com o P</w:t>
      </w:r>
      <w:r>
        <w:rPr>
          <w:rFonts w:ascii="Verdana" w:hAnsi="Verdana" w:cstheme="minorHAnsi"/>
          <w:sz w:val="18"/>
          <w:szCs w:val="18"/>
        </w:rPr>
        <w:t>edido de Providências</w:t>
      </w:r>
      <w:r w:rsidR="003E3CB4">
        <w:rPr>
          <w:rFonts w:ascii="Verdana" w:hAnsi="Verdana" w:cstheme="minorHAnsi"/>
          <w:sz w:val="18"/>
          <w:szCs w:val="18"/>
        </w:rPr>
        <w:t xml:space="preserve"> nº </w:t>
      </w:r>
      <w:r>
        <w:rPr>
          <w:rFonts w:ascii="Verdana" w:hAnsi="Verdana" w:cstheme="minorHAnsi"/>
          <w:sz w:val="18"/>
          <w:szCs w:val="18"/>
        </w:rPr>
        <w:t>9021</w:t>
      </w:r>
      <w:r w:rsidR="003E3CB4">
        <w:rPr>
          <w:rFonts w:ascii="Verdana" w:hAnsi="Verdana" w:cstheme="minorHAnsi"/>
          <w:sz w:val="18"/>
          <w:szCs w:val="18"/>
        </w:rPr>
        <w:t>/2024</w:t>
      </w:r>
      <w:r>
        <w:rPr>
          <w:rFonts w:ascii="Verdana" w:hAnsi="Verdana" w:cstheme="minorHAnsi"/>
          <w:sz w:val="18"/>
          <w:szCs w:val="18"/>
        </w:rPr>
        <w:t xml:space="preserve">. </w:t>
      </w:r>
    </w:p>
    <w:p w14:paraId="7846B031" w14:textId="77777777" w:rsidR="003E3CB4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4AE2392B" w14:textId="6C8C7090" w:rsidR="003E3CB4" w:rsidRPr="000F7493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Em que pese as particularidades e peculiaridades dos projetos apresentados o que, em um primeiro momento, poderia se vislumbrar em uma semelhança ou identidade, </w:t>
      </w:r>
      <w:r>
        <w:rPr>
          <w:rFonts w:ascii="Verdana" w:hAnsi="Verdana" w:cstheme="minorHAnsi"/>
          <w:b/>
          <w:bCs/>
          <w:sz w:val="18"/>
          <w:szCs w:val="18"/>
        </w:rPr>
        <w:t>não é, de fato, o que nos demonstra a interpretação do dispositivo legal</w:t>
      </w:r>
      <w:r w:rsidR="000F7493">
        <w:rPr>
          <w:rFonts w:ascii="Verdana" w:hAnsi="Verdana" w:cstheme="minorHAnsi"/>
          <w:b/>
          <w:bCs/>
          <w:sz w:val="18"/>
          <w:szCs w:val="18"/>
        </w:rPr>
        <w:t xml:space="preserve">, </w:t>
      </w:r>
      <w:r w:rsidR="000F7493">
        <w:rPr>
          <w:rFonts w:ascii="Verdana" w:hAnsi="Verdana" w:cstheme="minorHAnsi"/>
          <w:sz w:val="18"/>
          <w:szCs w:val="18"/>
        </w:rPr>
        <w:t>diante das justificativas acima descritas.</w:t>
      </w:r>
    </w:p>
    <w:p w14:paraId="63B7F9B7" w14:textId="77777777" w:rsidR="003E3CB4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23F3CC2E" w14:textId="0395EC3E" w:rsidR="003E3CB4" w:rsidRPr="00A669E0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Em suma, </w:t>
      </w:r>
      <w:proofErr w:type="spellStart"/>
      <w:r>
        <w:rPr>
          <w:rFonts w:ascii="Verdana" w:hAnsi="Verdana" w:cstheme="minorHAnsi"/>
          <w:i/>
          <w:iCs/>
          <w:sz w:val="18"/>
          <w:szCs w:val="18"/>
        </w:rPr>
        <w:t>ab</w:t>
      </w:r>
      <w:proofErr w:type="spellEnd"/>
      <w:r>
        <w:rPr>
          <w:rFonts w:ascii="Verdana" w:hAnsi="Verdana" w:cstheme="minorHAnsi"/>
          <w:i/>
          <w:iCs/>
          <w:sz w:val="18"/>
          <w:szCs w:val="18"/>
        </w:rPr>
        <w:t xml:space="preserve"> initio </w:t>
      </w:r>
      <w:r>
        <w:rPr>
          <w:rFonts w:ascii="Verdana" w:hAnsi="Verdana" w:cstheme="minorHAnsi"/>
          <w:sz w:val="18"/>
          <w:szCs w:val="18"/>
        </w:rPr>
        <w:t xml:space="preserve">os projetos </w:t>
      </w:r>
      <w:r>
        <w:rPr>
          <w:rFonts w:ascii="Verdana" w:hAnsi="Verdana" w:cstheme="minorHAnsi"/>
          <w:b/>
          <w:bCs/>
          <w:sz w:val="18"/>
          <w:szCs w:val="18"/>
        </w:rPr>
        <w:t xml:space="preserve">não </w:t>
      </w:r>
      <w:r>
        <w:rPr>
          <w:rFonts w:ascii="Verdana" w:hAnsi="Verdana" w:cstheme="minorHAnsi"/>
          <w:sz w:val="18"/>
          <w:szCs w:val="18"/>
        </w:rPr>
        <w:t xml:space="preserve">são idênticos e, em segundo plano, apesar de parecerem semelhantes nenhum foi declarada inconstitucional pelo Plenário, </w:t>
      </w:r>
      <w:r w:rsidR="000F7493">
        <w:rPr>
          <w:rFonts w:ascii="Verdana" w:hAnsi="Verdana" w:cstheme="minorHAnsi"/>
          <w:sz w:val="18"/>
          <w:szCs w:val="18"/>
        </w:rPr>
        <w:t xml:space="preserve">além de se tratarem de tipos diferentes, </w:t>
      </w:r>
      <w:r>
        <w:rPr>
          <w:rFonts w:ascii="Verdana" w:hAnsi="Verdana" w:cstheme="minorHAnsi"/>
          <w:sz w:val="18"/>
          <w:szCs w:val="18"/>
        </w:rPr>
        <w:t xml:space="preserve">o que </w:t>
      </w:r>
      <w:r>
        <w:rPr>
          <w:rFonts w:ascii="Verdana" w:hAnsi="Verdana" w:cstheme="minorHAnsi"/>
          <w:b/>
          <w:bCs/>
          <w:sz w:val="18"/>
          <w:szCs w:val="18"/>
        </w:rPr>
        <w:t>afasta por completo a caracterização da prejudicialidade.</w:t>
      </w:r>
    </w:p>
    <w:p w14:paraId="5AECCD5C" w14:textId="77777777" w:rsidR="003E3CB4" w:rsidRPr="00D806FA" w:rsidRDefault="003E3CB4" w:rsidP="003E3CB4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498F3BA8" w14:textId="77777777" w:rsidR="003E3CB4" w:rsidRPr="00D806FA" w:rsidRDefault="003E3CB4" w:rsidP="003E3CB4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16F071D4" w14:textId="77777777" w:rsidR="003E3CB4" w:rsidRPr="00D806FA" w:rsidRDefault="003E3CB4" w:rsidP="003E3CB4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>CONCLUSÃO</w:t>
      </w:r>
    </w:p>
    <w:p w14:paraId="214B84AB" w14:textId="77777777" w:rsidR="003E3CB4" w:rsidRPr="00D806FA" w:rsidRDefault="003E3CB4" w:rsidP="003E3CB4">
      <w:pPr>
        <w:pStyle w:val="PargrafodaLista"/>
        <w:spacing w:after="160" w:line="360" w:lineRule="auto"/>
        <w:ind w:left="720" w:firstLine="0"/>
        <w:jc w:val="both"/>
        <w:rPr>
          <w:rFonts w:ascii="Verdana" w:hAnsi="Verdana" w:cstheme="minorHAnsi"/>
          <w:b/>
          <w:sz w:val="18"/>
          <w:szCs w:val="18"/>
        </w:rPr>
      </w:pPr>
    </w:p>
    <w:p w14:paraId="692D65DE" w14:textId="77777777" w:rsidR="003E3CB4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>Em face do exposto, em nosso modesto entendimento,</w:t>
      </w:r>
      <w:r>
        <w:rPr>
          <w:rFonts w:ascii="Verdana" w:hAnsi="Verdana" w:cstheme="minorHAnsi"/>
          <w:sz w:val="18"/>
          <w:szCs w:val="18"/>
        </w:rPr>
        <w:t xml:space="preserve"> temos não haver a incidência do fenômeno da prejudicialidade. </w:t>
      </w:r>
      <w:r w:rsidRPr="00D806FA">
        <w:rPr>
          <w:rFonts w:ascii="Verdana" w:hAnsi="Verdana" w:cstheme="minorHAnsi"/>
          <w:sz w:val="18"/>
          <w:szCs w:val="18"/>
        </w:rPr>
        <w:t xml:space="preserve"> </w:t>
      </w:r>
    </w:p>
    <w:p w14:paraId="0DA9D602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</w:p>
    <w:p w14:paraId="4783D4D5" w14:textId="77777777" w:rsidR="003E3CB4" w:rsidRPr="00D806FA" w:rsidRDefault="003E3CB4" w:rsidP="003E3CB4">
      <w:pPr>
        <w:spacing w:line="360" w:lineRule="auto"/>
        <w:ind w:firstLine="567"/>
        <w:jc w:val="both"/>
        <w:rPr>
          <w:rFonts w:ascii="Verdana" w:hAnsi="Verdana" w:cstheme="minorHAnsi"/>
          <w:sz w:val="18"/>
          <w:szCs w:val="18"/>
        </w:rPr>
      </w:pPr>
      <w:r w:rsidRPr="00D806FA">
        <w:rPr>
          <w:rFonts w:ascii="Verdana" w:hAnsi="Verdana" w:cstheme="minorHAnsi"/>
          <w:sz w:val="18"/>
          <w:szCs w:val="18"/>
        </w:rPr>
        <w:t>É o parecer.</w:t>
      </w:r>
    </w:p>
    <w:p w14:paraId="2788BB82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</w:p>
    <w:p w14:paraId="438E32AF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b/>
          <w:sz w:val="18"/>
          <w:szCs w:val="18"/>
        </w:rPr>
      </w:pPr>
      <w:r w:rsidRPr="00D806FA">
        <w:rPr>
          <w:rFonts w:ascii="Verdana" w:hAnsi="Verdana" w:cstheme="minorHAnsi"/>
          <w:b/>
          <w:sz w:val="18"/>
          <w:szCs w:val="18"/>
        </w:rPr>
        <w:t>ADRIANO COTTA DE BARROS</w:t>
      </w:r>
    </w:p>
    <w:p w14:paraId="413B2FDA" w14:textId="77777777" w:rsidR="003E3CB4" w:rsidRPr="00D806FA" w:rsidRDefault="003E3CB4" w:rsidP="003E3CB4">
      <w:pPr>
        <w:spacing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Subprocurador do Legislativo</w:t>
      </w:r>
    </w:p>
    <w:p w14:paraId="16A79497" w14:textId="77777777" w:rsidR="003E3CB4" w:rsidRPr="00D806FA" w:rsidRDefault="003E3CB4" w:rsidP="003E3CB4">
      <w:pPr>
        <w:rPr>
          <w:rFonts w:ascii="Verdana" w:hAnsi="Verdana" w:cstheme="minorHAnsi"/>
          <w:sz w:val="18"/>
          <w:szCs w:val="18"/>
        </w:rPr>
      </w:pPr>
    </w:p>
    <w:p w14:paraId="35FC28E4" w14:textId="77777777" w:rsidR="003E3CB4" w:rsidRPr="00D806FA" w:rsidRDefault="003E3CB4" w:rsidP="003E3CB4">
      <w:pPr>
        <w:rPr>
          <w:rFonts w:ascii="Verdana" w:hAnsi="Verdana" w:cstheme="minorHAnsi"/>
          <w:sz w:val="18"/>
          <w:szCs w:val="18"/>
        </w:rPr>
      </w:pPr>
    </w:p>
    <w:p w14:paraId="25B989F9" w14:textId="77777777" w:rsidR="003E3CB4" w:rsidRPr="00D806FA" w:rsidRDefault="003E3CB4" w:rsidP="003E3CB4">
      <w:pPr>
        <w:rPr>
          <w:rFonts w:ascii="Verdana" w:hAnsi="Verdana" w:cstheme="minorHAnsi"/>
          <w:sz w:val="18"/>
          <w:szCs w:val="18"/>
        </w:rPr>
      </w:pPr>
    </w:p>
    <w:p w14:paraId="59EED273" w14:textId="77777777" w:rsidR="003E3CB4" w:rsidRPr="00D806FA" w:rsidRDefault="003E3CB4" w:rsidP="003E3CB4">
      <w:pPr>
        <w:rPr>
          <w:rFonts w:ascii="Verdana" w:hAnsi="Verdana" w:cstheme="minorHAnsi"/>
          <w:sz w:val="18"/>
          <w:szCs w:val="18"/>
        </w:rPr>
      </w:pPr>
    </w:p>
    <w:p w14:paraId="3A0C5A13" w14:textId="77777777" w:rsidR="003E3CB4" w:rsidRPr="00D806FA" w:rsidRDefault="003E3CB4" w:rsidP="003E3CB4">
      <w:pPr>
        <w:rPr>
          <w:rFonts w:ascii="Verdana" w:hAnsi="Verdana" w:cstheme="minorHAnsi"/>
          <w:sz w:val="18"/>
          <w:szCs w:val="18"/>
        </w:rPr>
      </w:pPr>
    </w:p>
    <w:p w14:paraId="12180C63" w14:textId="77777777" w:rsidR="00E375CB" w:rsidRDefault="00E375CB"/>
    <w:sectPr w:rsidR="00E375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9E30" w14:textId="77777777" w:rsidR="000D5367" w:rsidRDefault="000D5367">
      <w:pPr>
        <w:spacing w:after="0" w:line="240" w:lineRule="auto"/>
      </w:pPr>
      <w:r>
        <w:separator/>
      </w:r>
    </w:p>
  </w:endnote>
  <w:endnote w:type="continuationSeparator" w:id="0">
    <w:p w14:paraId="78689C77" w14:textId="77777777" w:rsidR="000D5367" w:rsidRDefault="000D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333E" w14:textId="77777777" w:rsidR="003C34B0" w:rsidRDefault="000D5367">
    <w:pPr>
      <w:pStyle w:val="Rodap"/>
    </w:pPr>
  </w:p>
  <w:p w14:paraId="58EDCB0E" w14:textId="77777777" w:rsidR="003C34B0" w:rsidRDefault="000D5367">
    <w:pPr>
      <w:pStyle w:val="Rodap"/>
    </w:pPr>
  </w:p>
  <w:p w14:paraId="3593C9C1" w14:textId="77777777" w:rsidR="003C34B0" w:rsidRDefault="000D5367">
    <w:pPr>
      <w:pStyle w:val="Rodap"/>
    </w:pPr>
  </w:p>
  <w:p w14:paraId="01AFB9A6" w14:textId="77777777" w:rsidR="003C34B0" w:rsidRDefault="000D53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4648" w14:textId="77777777" w:rsidR="000D5367" w:rsidRDefault="000D5367">
      <w:pPr>
        <w:spacing w:after="0" w:line="240" w:lineRule="auto"/>
      </w:pPr>
      <w:r>
        <w:separator/>
      </w:r>
    </w:p>
  </w:footnote>
  <w:footnote w:type="continuationSeparator" w:id="0">
    <w:p w14:paraId="7D2B4F3A" w14:textId="77777777" w:rsidR="000D5367" w:rsidRDefault="000D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4BA5" w14:textId="77777777" w:rsidR="003C34B0" w:rsidRDefault="000F749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337DB7" wp14:editId="726A8A8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AAA06" w14:textId="77777777" w:rsidR="003C34B0" w:rsidRDefault="000D5367">
    <w:pPr>
      <w:pStyle w:val="Cabealho"/>
    </w:pPr>
  </w:p>
  <w:p w14:paraId="66495AAE" w14:textId="77777777" w:rsidR="003C34B0" w:rsidRDefault="000D5367">
    <w:pPr>
      <w:pStyle w:val="Cabealho"/>
    </w:pPr>
  </w:p>
  <w:p w14:paraId="2728AF63" w14:textId="77777777" w:rsidR="003C34B0" w:rsidRDefault="000D53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9D6"/>
    <w:multiLevelType w:val="hybridMultilevel"/>
    <w:tmpl w:val="F0AEED40"/>
    <w:lvl w:ilvl="0" w:tplc="FC22446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D4B0188"/>
    <w:multiLevelType w:val="multilevel"/>
    <w:tmpl w:val="F03A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230D9"/>
    <w:multiLevelType w:val="multilevel"/>
    <w:tmpl w:val="6A28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53C5B"/>
    <w:multiLevelType w:val="hybridMultilevel"/>
    <w:tmpl w:val="7DA00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B4"/>
    <w:rsid w:val="000D5367"/>
    <w:rsid w:val="000F7493"/>
    <w:rsid w:val="003E3CB4"/>
    <w:rsid w:val="00415E86"/>
    <w:rsid w:val="005828F3"/>
    <w:rsid w:val="006E70C1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3100"/>
  <w15:chartTrackingRefBased/>
  <w15:docId w15:val="{5EDE126F-9696-451E-BEBB-7281AC6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B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CB4"/>
  </w:style>
  <w:style w:type="paragraph" w:styleId="Rodap">
    <w:name w:val="footer"/>
    <w:basedOn w:val="Normal"/>
    <w:link w:val="RodapChar"/>
    <w:uiPriority w:val="99"/>
    <w:unhideWhenUsed/>
    <w:rsid w:val="003E3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CB4"/>
  </w:style>
  <w:style w:type="paragraph" w:styleId="PargrafodaLista">
    <w:name w:val="List Paragraph"/>
    <w:basedOn w:val="Normal"/>
    <w:uiPriority w:val="34"/>
    <w:qFormat/>
    <w:rsid w:val="003E3CB4"/>
    <w:pPr>
      <w:spacing w:after="0" w:line="240" w:lineRule="auto"/>
      <w:ind w:firstLine="1701"/>
      <w:contextualSpacing/>
    </w:pPr>
  </w:style>
  <w:style w:type="character" w:styleId="Hyperlink">
    <w:name w:val="Hyperlink"/>
    <w:basedOn w:val="Fontepargpadro"/>
    <w:uiPriority w:val="99"/>
    <w:unhideWhenUsed/>
    <w:rsid w:val="003E3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ducacaoadistancia.camara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Cotta de Barros e Silva</dc:creator>
  <cp:keywords/>
  <dc:description/>
  <cp:lastModifiedBy>Flavio Pires Incalado</cp:lastModifiedBy>
  <cp:revision>2</cp:revision>
  <dcterms:created xsi:type="dcterms:W3CDTF">2024-06-17T13:52:00Z</dcterms:created>
  <dcterms:modified xsi:type="dcterms:W3CDTF">2024-06-17T13:52:00Z</dcterms:modified>
</cp:coreProperties>
</file>