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76A1" w14:textId="19296B3F" w:rsidR="00C97BD3" w:rsidRPr="004D10AA" w:rsidRDefault="00C97BD3" w:rsidP="00C97BD3">
      <w:pPr>
        <w:spacing w:line="360" w:lineRule="auto"/>
        <w:jc w:val="right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 xml:space="preserve">Sete Lagoas, </w:t>
      </w:r>
      <w:r>
        <w:rPr>
          <w:rFonts w:ascii="Verdana" w:hAnsi="Verdana" w:cs="Times New Roman"/>
          <w:sz w:val="20"/>
          <w:szCs w:val="20"/>
        </w:rPr>
        <w:t xml:space="preserve">22 de abril de </w:t>
      </w:r>
      <w:proofErr w:type="gramStart"/>
      <w:r>
        <w:rPr>
          <w:rFonts w:ascii="Verdana" w:hAnsi="Verdana" w:cs="Times New Roman"/>
          <w:sz w:val="20"/>
          <w:szCs w:val="20"/>
        </w:rPr>
        <w:t>2024.</w:t>
      </w:r>
      <w:r w:rsidRPr="004D10AA">
        <w:rPr>
          <w:rFonts w:ascii="Verdana" w:hAnsi="Verdana" w:cs="Times New Roman"/>
          <w:sz w:val="20"/>
          <w:szCs w:val="20"/>
        </w:rPr>
        <w:t>.</w:t>
      </w:r>
      <w:proofErr w:type="gramEnd"/>
    </w:p>
    <w:p w14:paraId="19E3D1A9" w14:textId="77777777" w:rsidR="00C97BD3" w:rsidRPr="004D10AA" w:rsidRDefault="00C97BD3" w:rsidP="00C97BD3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53EF0BB2" w14:textId="77777777" w:rsidR="00C97BD3" w:rsidRPr="004D10AA" w:rsidRDefault="00C97BD3" w:rsidP="00C97BD3">
      <w:pPr>
        <w:spacing w:line="360" w:lineRule="auto"/>
        <w:ind w:firstLine="1418"/>
        <w:jc w:val="both"/>
        <w:rPr>
          <w:rFonts w:ascii="Verdana" w:hAnsi="Verdana" w:cs="Times New Roman"/>
          <w:b/>
          <w:sz w:val="20"/>
          <w:szCs w:val="20"/>
        </w:rPr>
      </w:pPr>
      <w:r w:rsidRPr="004D10AA">
        <w:rPr>
          <w:rFonts w:ascii="Verdana" w:hAnsi="Verdana" w:cs="Times New Roman"/>
          <w:b/>
          <w:sz w:val="20"/>
          <w:szCs w:val="20"/>
        </w:rPr>
        <w:t>PARECER JURÍDICO</w:t>
      </w:r>
    </w:p>
    <w:p w14:paraId="14A09A90" w14:textId="77777777" w:rsidR="00C97BD3" w:rsidRPr="004D10AA" w:rsidRDefault="00C97BD3" w:rsidP="00C97BD3">
      <w:pPr>
        <w:spacing w:line="360" w:lineRule="auto"/>
        <w:ind w:firstLine="1418"/>
        <w:jc w:val="both"/>
        <w:rPr>
          <w:rFonts w:ascii="Verdana" w:hAnsi="Verdana" w:cs="Times New Roman"/>
          <w:b/>
          <w:sz w:val="20"/>
          <w:szCs w:val="20"/>
        </w:rPr>
      </w:pPr>
    </w:p>
    <w:p w14:paraId="70563331" w14:textId="168A4FFD" w:rsidR="00C97BD3" w:rsidRPr="004D10AA" w:rsidRDefault="00C97BD3" w:rsidP="00C97BD3">
      <w:pPr>
        <w:spacing w:line="360" w:lineRule="auto"/>
        <w:ind w:firstLine="851"/>
        <w:jc w:val="both"/>
        <w:rPr>
          <w:rFonts w:ascii="Verdana" w:hAnsi="Verdana" w:cs="Times New Roman"/>
          <w:i/>
          <w:sz w:val="20"/>
          <w:szCs w:val="20"/>
        </w:rPr>
      </w:pPr>
      <w:r w:rsidRPr="004D10AA">
        <w:rPr>
          <w:rFonts w:ascii="Verdana" w:hAnsi="Verdana" w:cs="Times New Roman"/>
          <w:b/>
          <w:sz w:val="20"/>
          <w:szCs w:val="20"/>
        </w:rPr>
        <w:t xml:space="preserve">Matéria: </w:t>
      </w:r>
      <w:r w:rsidRPr="004D10AA">
        <w:rPr>
          <w:rFonts w:ascii="Verdana" w:hAnsi="Verdana" w:cs="Times New Roman"/>
          <w:sz w:val="20"/>
          <w:szCs w:val="20"/>
        </w:rPr>
        <w:t xml:space="preserve">Projeto de Lei nº </w:t>
      </w:r>
      <w:r>
        <w:rPr>
          <w:rFonts w:ascii="Verdana" w:hAnsi="Verdana" w:cs="Times New Roman"/>
          <w:sz w:val="20"/>
          <w:szCs w:val="20"/>
        </w:rPr>
        <w:t>315/2023.</w:t>
      </w:r>
    </w:p>
    <w:p w14:paraId="35F6D770" w14:textId="77777777" w:rsidR="00C97BD3" w:rsidRPr="004D10AA" w:rsidRDefault="00C97BD3" w:rsidP="00C97BD3">
      <w:pPr>
        <w:spacing w:line="360" w:lineRule="auto"/>
        <w:jc w:val="both"/>
        <w:rPr>
          <w:rFonts w:ascii="Verdana" w:hAnsi="Verdana" w:cs="Times New Roman"/>
          <w:i/>
          <w:sz w:val="20"/>
          <w:szCs w:val="20"/>
        </w:rPr>
      </w:pPr>
    </w:p>
    <w:p w14:paraId="59B3A83F" w14:textId="01BA2C3E" w:rsidR="00C97BD3" w:rsidRDefault="00C97BD3" w:rsidP="00C97BD3">
      <w:pPr>
        <w:spacing w:line="360" w:lineRule="auto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b/>
          <w:sz w:val="20"/>
          <w:szCs w:val="20"/>
        </w:rPr>
        <w:t xml:space="preserve">Autoria: </w:t>
      </w:r>
      <w:r w:rsidRPr="004D10AA">
        <w:rPr>
          <w:rFonts w:ascii="Verdana" w:hAnsi="Verdana" w:cs="Times New Roman"/>
          <w:sz w:val="20"/>
          <w:szCs w:val="20"/>
        </w:rPr>
        <w:t>Exm</w:t>
      </w:r>
      <w:r>
        <w:rPr>
          <w:rFonts w:ascii="Verdana" w:hAnsi="Verdana" w:cs="Times New Roman"/>
          <w:sz w:val="20"/>
          <w:szCs w:val="20"/>
        </w:rPr>
        <w:t xml:space="preserve">a. Vereadora </w:t>
      </w:r>
      <w:r>
        <w:rPr>
          <w:rFonts w:ascii="Verdana" w:hAnsi="Verdana" w:cs="Times New Roman"/>
          <w:sz w:val="20"/>
          <w:szCs w:val="20"/>
        </w:rPr>
        <w:t>Marli Aparecida Barbosa</w:t>
      </w:r>
    </w:p>
    <w:p w14:paraId="5C4A5A71" w14:textId="77777777" w:rsidR="00C97BD3" w:rsidRDefault="00C97BD3" w:rsidP="00C97BD3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2B7C8DEC" w14:textId="77777777" w:rsidR="00C97BD3" w:rsidRPr="004D10AA" w:rsidRDefault="00C97BD3" w:rsidP="00C97BD3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</w:t>
      </w:r>
    </w:p>
    <w:p w14:paraId="645D6DA6" w14:textId="77777777" w:rsidR="00C97BD3" w:rsidRPr="004D10AA" w:rsidRDefault="00C97BD3" w:rsidP="00C97BD3">
      <w:pPr>
        <w:spacing w:line="360" w:lineRule="auto"/>
        <w:ind w:firstLine="1418"/>
        <w:jc w:val="both"/>
        <w:rPr>
          <w:rFonts w:ascii="Verdana" w:hAnsi="Verdana" w:cs="Times New Roman"/>
          <w:sz w:val="20"/>
          <w:szCs w:val="20"/>
        </w:rPr>
      </w:pPr>
    </w:p>
    <w:p w14:paraId="6F446E1E" w14:textId="77777777" w:rsidR="00C97BD3" w:rsidRPr="004D10AA" w:rsidRDefault="00C97BD3" w:rsidP="00C97BD3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4D10AA">
        <w:rPr>
          <w:rFonts w:ascii="Verdana" w:hAnsi="Verdana" w:cs="Times New Roman"/>
          <w:b/>
          <w:sz w:val="20"/>
          <w:szCs w:val="20"/>
        </w:rPr>
        <w:t>RELATÓRIO</w:t>
      </w:r>
    </w:p>
    <w:p w14:paraId="2F41558F" w14:textId="77777777" w:rsidR="00C97BD3" w:rsidRPr="004D10AA" w:rsidRDefault="00C97BD3" w:rsidP="00C97BD3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787C0EB6" w14:textId="35A9560A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Encontra-se nesta Procuradoria, para análise e parecer, a proposição epígrafe de iniciativa d</w:t>
      </w:r>
      <w:r>
        <w:rPr>
          <w:rFonts w:ascii="Verdana" w:hAnsi="Verdana" w:cs="Times New Roman"/>
          <w:sz w:val="20"/>
          <w:szCs w:val="20"/>
        </w:rPr>
        <w:t xml:space="preserve">a Vereadora </w:t>
      </w:r>
      <w:r>
        <w:rPr>
          <w:rFonts w:ascii="Verdana" w:hAnsi="Verdana" w:cs="Times New Roman"/>
          <w:sz w:val="20"/>
          <w:szCs w:val="20"/>
        </w:rPr>
        <w:t>Marli Aparecida Barbosa.</w:t>
      </w:r>
    </w:p>
    <w:p w14:paraId="4A4D4C0F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4B3E90B9" w14:textId="4C34EBF5" w:rsidR="00C97BD3" w:rsidRDefault="00C97BD3" w:rsidP="00C97BD3">
      <w:pPr>
        <w:spacing w:line="360" w:lineRule="auto"/>
        <w:ind w:firstLine="851"/>
        <w:jc w:val="both"/>
        <w:rPr>
          <w:sz w:val="24"/>
          <w:szCs w:val="24"/>
        </w:rPr>
      </w:pPr>
      <w:r w:rsidRPr="004D10AA">
        <w:rPr>
          <w:rFonts w:ascii="Verdana" w:hAnsi="Verdana" w:cs="Times New Roman"/>
          <w:sz w:val="20"/>
          <w:szCs w:val="20"/>
        </w:rPr>
        <w:t xml:space="preserve">Por meio da mencionada propositura, visa </w:t>
      </w:r>
      <w:r>
        <w:rPr>
          <w:rFonts w:ascii="Verdana" w:hAnsi="Verdana" w:cs="Times New Roman"/>
          <w:sz w:val="20"/>
          <w:szCs w:val="20"/>
        </w:rPr>
        <w:t>a</w:t>
      </w:r>
      <w:r w:rsidRPr="004D10AA">
        <w:rPr>
          <w:rFonts w:ascii="Verdana" w:hAnsi="Verdana" w:cs="Times New Roman"/>
          <w:sz w:val="20"/>
          <w:szCs w:val="20"/>
        </w:rPr>
        <w:t xml:space="preserve"> signatári</w:t>
      </w:r>
      <w:r>
        <w:rPr>
          <w:rFonts w:ascii="Verdana" w:hAnsi="Verdana" w:cs="Times New Roman"/>
          <w:sz w:val="20"/>
          <w:szCs w:val="20"/>
        </w:rPr>
        <w:t>a</w:t>
      </w:r>
      <w:r w:rsidRPr="004D10AA">
        <w:rPr>
          <w:rFonts w:ascii="Verdana" w:hAnsi="Verdana" w:cs="Times New Roman"/>
          <w:sz w:val="20"/>
          <w:szCs w:val="20"/>
        </w:rPr>
        <w:t xml:space="preserve"> a alteração </w:t>
      </w:r>
      <w:r>
        <w:rPr>
          <w:rFonts w:ascii="Verdana" w:hAnsi="Verdana" w:cs="Times New Roman"/>
          <w:sz w:val="20"/>
          <w:szCs w:val="20"/>
        </w:rPr>
        <w:t>do artigo 3</w:t>
      </w:r>
      <w:r>
        <w:rPr>
          <w:sz w:val="24"/>
          <w:szCs w:val="24"/>
        </w:rPr>
        <w:t>º da Lei nº 9.533/2023, que dispõe sobre a obrigação de bares, restaurantes e casas noturnas a adotarem medidas de auxílio às mulheres que se sintam em situação de risco.</w:t>
      </w:r>
    </w:p>
    <w:p w14:paraId="254CE355" w14:textId="77777777" w:rsidR="00C97BD3" w:rsidRPr="00C97BD3" w:rsidRDefault="00C97BD3" w:rsidP="00C97BD3">
      <w:pPr>
        <w:spacing w:line="360" w:lineRule="auto"/>
        <w:ind w:firstLine="851"/>
        <w:jc w:val="both"/>
        <w:rPr>
          <w:sz w:val="24"/>
          <w:szCs w:val="24"/>
        </w:rPr>
      </w:pPr>
    </w:p>
    <w:p w14:paraId="3A42F0FC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Em síntese, esse é o Projeto de Lei.</w:t>
      </w:r>
    </w:p>
    <w:p w14:paraId="3523BCFA" w14:textId="77777777" w:rsidR="00C97BD3" w:rsidRPr="004D10AA" w:rsidRDefault="00C97BD3" w:rsidP="00C97BD3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7159CF6" w14:textId="77777777" w:rsidR="00C97BD3" w:rsidRPr="004D10AA" w:rsidRDefault="00C97BD3" w:rsidP="00C97BD3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4D10AA">
        <w:rPr>
          <w:rFonts w:ascii="Verdana" w:hAnsi="Verdana" w:cs="Times New Roman"/>
          <w:b/>
          <w:sz w:val="20"/>
          <w:szCs w:val="20"/>
        </w:rPr>
        <w:t>CONSIDERAÇÕES INICIAIS</w:t>
      </w:r>
    </w:p>
    <w:p w14:paraId="5333508C" w14:textId="77777777" w:rsidR="00C97BD3" w:rsidRPr="004D10AA" w:rsidRDefault="00C97BD3" w:rsidP="00C97BD3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72A5FA20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 xml:space="preserve">Inicialmente, importante destacar que o exame da Procuradoria Jurídica </w:t>
      </w:r>
      <w:proofErr w:type="gramStart"/>
      <w:r w:rsidRPr="004D10AA">
        <w:rPr>
          <w:rFonts w:ascii="Verdana" w:hAnsi="Verdana" w:cs="Times New Roman"/>
          <w:sz w:val="20"/>
          <w:szCs w:val="20"/>
        </w:rPr>
        <w:t>cinge-se</w:t>
      </w:r>
      <w:proofErr w:type="gramEnd"/>
      <w:r w:rsidRPr="004D10AA">
        <w:rPr>
          <w:rFonts w:ascii="Verdana" w:hAnsi="Verdana" w:cs="Times New Roman"/>
          <w:sz w:val="20"/>
          <w:szCs w:val="20"/>
        </w:rPr>
        <w:t xml:space="preserve"> tão somente à matéria jurídica envolvida, nos termos da sua competência legal, tendo por base os documentos juntados, razão pela qual não incursiona em </w:t>
      </w:r>
      <w:r w:rsidRPr="004D10AA">
        <w:rPr>
          <w:rFonts w:ascii="Verdana" w:hAnsi="Verdana" w:cs="Times New Roman"/>
          <w:sz w:val="20"/>
          <w:szCs w:val="20"/>
        </w:rPr>
        <w:lastRenderedPageBreak/>
        <w:t>discussões de ordem técnica, bem como questões que envolvam juízo de mérito sobre o tema trazido à apreciação, cuja análise é exclusiva dos setores competentes.</w:t>
      </w:r>
    </w:p>
    <w:p w14:paraId="647993B6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27249126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A Procuradoria Jurídica da Câmara de Sete Lagoas, exerce as funções de assessoramento jurídico e de orientação da Mesa Diretora, da Presidência da Casa e dos setores legislativos, através da emissão de pareceres escritos e verbais, bem como de opiniões fundamentadas objetivando a tomada de decisões, por meio de reuniões, de manifestações escritas e aconselhamentos.</w:t>
      </w:r>
    </w:p>
    <w:p w14:paraId="40E12516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1858A55F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Desse modo, a função consultiva desempenhada por esta Procuradoria não é vinculante, motivo pelo qual é possível, se for o caso, que os agentes políticos formem suas próprias convicções em discordância com as opiniões manifestadas por meio do parecer jurídico.</w:t>
      </w:r>
    </w:p>
    <w:p w14:paraId="1BCCE1F7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1E0579E7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Diante desses esclarecimentos, passemos a opinar sobre a matéria apresentada.</w:t>
      </w:r>
    </w:p>
    <w:p w14:paraId="53225D19" w14:textId="77777777" w:rsidR="00C97BD3" w:rsidRPr="004D10AA" w:rsidRDefault="00C97BD3" w:rsidP="00C97BD3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2E7B5D08" w14:textId="3F8EB07A" w:rsidR="00C97BD3" w:rsidRPr="00C97BD3" w:rsidRDefault="00C97BD3" w:rsidP="00C97BD3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97BD3">
        <w:rPr>
          <w:rFonts w:ascii="Verdana" w:hAnsi="Verdana" w:cs="Times New Roman"/>
          <w:b/>
          <w:sz w:val="20"/>
          <w:szCs w:val="20"/>
        </w:rPr>
        <w:t>COMPETÊNCIA LEGISLATIVA</w:t>
      </w:r>
    </w:p>
    <w:p w14:paraId="4DACD0CD" w14:textId="77777777" w:rsidR="00C97BD3" w:rsidRPr="004D10AA" w:rsidRDefault="00C97BD3" w:rsidP="00C97BD3">
      <w:pPr>
        <w:pStyle w:val="PargrafodaLista"/>
        <w:spacing w:after="160" w:line="360" w:lineRule="auto"/>
        <w:ind w:left="720" w:firstLine="0"/>
        <w:jc w:val="both"/>
        <w:rPr>
          <w:rFonts w:ascii="Verdana" w:hAnsi="Verdana" w:cs="Times New Roman"/>
          <w:b/>
          <w:sz w:val="20"/>
          <w:szCs w:val="20"/>
        </w:rPr>
      </w:pPr>
    </w:p>
    <w:p w14:paraId="79D31A97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O artigo 30, I e II de nossa Carta Maior dispõe que compete ao Município “</w:t>
      </w:r>
      <w:r w:rsidRPr="004D10AA">
        <w:rPr>
          <w:rFonts w:ascii="Verdana" w:hAnsi="Verdana" w:cs="Times New Roman"/>
          <w:i/>
          <w:sz w:val="20"/>
          <w:szCs w:val="20"/>
        </w:rPr>
        <w:t xml:space="preserve">legislar sobre assuntos de interesse local” </w:t>
      </w:r>
      <w:r w:rsidRPr="004D10AA">
        <w:rPr>
          <w:rFonts w:ascii="Verdana" w:hAnsi="Verdana" w:cs="Times New Roman"/>
          <w:sz w:val="20"/>
          <w:szCs w:val="20"/>
        </w:rPr>
        <w:t>e “</w:t>
      </w:r>
      <w:r w:rsidRPr="004D10AA">
        <w:rPr>
          <w:rFonts w:ascii="Verdana" w:hAnsi="Verdana" w:cs="Times New Roman"/>
          <w:i/>
          <w:sz w:val="20"/>
          <w:szCs w:val="20"/>
        </w:rPr>
        <w:t>suplementar legislação federal e estadual no que couber”.</w:t>
      </w:r>
    </w:p>
    <w:p w14:paraId="32B0160E" w14:textId="77777777" w:rsidR="00C97BD3" w:rsidRPr="004D10AA" w:rsidRDefault="00C97BD3" w:rsidP="00C97BD3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284AF306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O significado de assuntos de interesse local há muito é debatido pelos tribunais, não se tendo notícias do real significado nem mesmo pelo Supremo Tribunal Federal.</w:t>
      </w:r>
    </w:p>
    <w:p w14:paraId="5E5A0226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3E1144E5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 xml:space="preserve">Contudo, como se percebe, na prática, a matéria de interesse do Município é, também, de interesse do Estado e da União, e vice e versa. Portanto, por critério da predominância do interesse do Município, se houver uma relação íntima entre este e a matéria a ser legislada, a norma do art. 30, I, terá incidência. Ou seja, o que disser respeito apenas ao Município, a este caberá legislar com exclusividade. </w:t>
      </w:r>
    </w:p>
    <w:p w14:paraId="378CDDE8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3229E985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 xml:space="preserve">Isto é, é a predominância e não a exclusividade que define a competência do município de modo que tenha delineado seu ordenamento com contornos </w:t>
      </w:r>
      <w:proofErr w:type="gramStart"/>
      <w:r w:rsidRPr="004D10AA">
        <w:rPr>
          <w:rFonts w:ascii="Verdana" w:hAnsi="Verdana" w:cs="Times New Roman"/>
          <w:sz w:val="20"/>
          <w:szCs w:val="20"/>
        </w:rPr>
        <w:t>próprios</w:t>
      </w:r>
      <w:proofErr w:type="gramEnd"/>
      <w:r w:rsidRPr="004D10AA">
        <w:rPr>
          <w:rFonts w:ascii="Verdana" w:hAnsi="Verdana" w:cs="Times New Roman"/>
          <w:sz w:val="20"/>
          <w:szCs w:val="20"/>
        </w:rPr>
        <w:t xml:space="preserve"> mas sem perder de vista que não há interesse local que não seja também reflexamente nacional ou regional, como dito. </w:t>
      </w:r>
    </w:p>
    <w:p w14:paraId="0CF05DCC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7C4B23B6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Na lição do eminente doutrinador Hely Lopes Meirelles, “</w:t>
      </w:r>
      <w:r w:rsidRPr="004D10AA">
        <w:rPr>
          <w:rFonts w:ascii="Verdana" w:hAnsi="Verdana" w:cs="Times New Roman"/>
          <w:i/>
          <w:iCs/>
          <w:sz w:val="20"/>
          <w:szCs w:val="20"/>
        </w:rPr>
        <w:t xml:space="preserve">compete ao Município a polícia administrativa das atividades urbanas em geral, para a ordenação da vida da cidade. Esse policiamento se estende a todas as atividades e estabelecimento urbanos, desde a sua localização até o a instalação e funcionamento (...). Para esse policiamento deve o Município indicar o proceder do administrado, regulamentar a fiscalização e cobrar taxas estabelecidas por lei. Nessa regulamentação se inclui a fixação de horário do comércio em geral e das diversificações para certas atividades ou estabelecimentos, bem como o modo de apresentação das mercadorias, utilidades e serviços oferecidos ao público”. </w:t>
      </w:r>
      <w:r w:rsidRPr="004D10AA">
        <w:rPr>
          <w:rFonts w:ascii="Verdana" w:hAnsi="Verdana" w:cs="Times New Roman"/>
          <w:sz w:val="20"/>
          <w:szCs w:val="20"/>
        </w:rPr>
        <w:t xml:space="preserve">(Direito Municipal Brasileiro, 6ª ed., Ed. Malheiros, </w:t>
      </w:r>
      <w:proofErr w:type="spellStart"/>
      <w:r w:rsidRPr="004D10AA">
        <w:rPr>
          <w:rFonts w:ascii="Verdana" w:hAnsi="Verdana" w:cs="Times New Roman"/>
          <w:sz w:val="20"/>
          <w:szCs w:val="20"/>
        </w:rPr>
        <w:t>pags</w:t>
      </w:r>
      <w:proofErr w:type="spellEnd"/>
      <w:r w:rsidRPr="004D10AA">
        <w:rPr>
          <w:rFonts w:ascii="Verdana" w:hAnsi="Verdana" w:cs="Times New Roman"/>
          <w:sz w:val="20"/>
          <w:szCs w:val="20"/>
        </w:rPr>
        <w:t>. 307,371).</w:t>
      </w:r>
    </w:p>
    <w:p w14:paraId="69A5FDB1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200263D1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Não se enquadrando, tal proposição, nas hipóteses do artigo 76 da Lei Orgânica do Município, tem-se, pois, a competência desta casa legislativa para tratar sobre a matéria.</w:t>
      </w:r>
    </w:p>
    <w:p w14:paraId="16BC0DB6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4766CF37" w14:textId="53394D2A" w:rsidR="00C97BD3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Cs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 xml:space="preserve">Pois bem, verifica-se que </w:t>
      </w:r>
      <w:proofErr w:type="gramStart"/>
      <w:r w:rsidRPr="004D10AA">
        <w:rPr>
          <w:rFonts w:ascii="Verdana" w:hAnsi="Verdana" w:cs="Times New Roman"/>
          <w:sz w:val="20"/>
          <w:szCs w:val="20"/>
        </w:rPr>
        <w:t>encontra-se</w:t>
      </w:r>
      <w:proofErr w:type="gramEnd"/>
      <w:r w:rsidRPr="004D10AA">
        <w:rPr>
          <w:rFonts w:ascii="Verdana" w:hAnsi="Verdana" w:cs="Times New Roman"/>
          <w:sz w:val="20"/>
          <w:szCs w:val="20"/>
        </w:rPr>
        <w:t xml:space="preserve"> em plena vigência a Lei Municipal nº</w:t>
      </w:r>
      <w:r>
        <w:rPr>
          <w:rFonts w:ascii="Verdana" w:hAnsi="Verdana" w:cs="Times New Roman"/>
          <w:sz w:val="20"/>
          <w:szCs w:val="20"/>
        </w:rPr>
        <w:t xml:space="preserve"> 9.533/2023.</w:t>
      </w:r>
    </w:p>
    <w:p w14:paraId="4E28517D" w14:textId="77777777" w:rsidR="00C97BD3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Cs/>
          <w:sz w:val="20"/>
          <w:szCs w:val="20"/>
        </w:rPr>
      </w:pPr>
    </w:p>
    <w:p w14:paraId="7BCB0073" w14:textId="5FECDCBE" w:rsidR="00C97BD3" w:rsidRPr="00C97BD3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Cs/>
          <w:sz w:val="20"/>
          <w:szCs w:val="20"/>
        </w:rPr>
        <w:t>A proposta apresentada pela ilustre Edil, segundo justificativa,</w:t>
      </w:r>
      <w:r>
        <w:rPr>
          <w:rFonts w:ascii="Verdana" w:hAnsi="Verdana" w:cs="Times New Roman"/>
          <w:iCs/>
          <w:sz w:val="20"/>
          <w:szCs w:val="20"/>
        </w:rPr>
        <w:t xml:space="preserve"> é complementar a Lei com a inclusão do Protocolo “Não se Cale”, buscando “</w:t>
      </w:r>
      <w:r>
        <w:rPr>
          <w:rFonts w:ascii="Verdana" w:hAnsi="Verdana" w:cs="Times New Roman"/>
          <w:i/>
          <w:sz w:val="20"/>
          <w:szCs w:val="20"/>
        </w:rPr>
        <w:t>estabelecer novas formas de atuação e prevenção que garantam a integridade das mulheres que estejam passando por qualquer tipo de violência e que essas vítimas sejam atendidas de forma rápida nessas situações de vulnerabilidade.”</w:t>
      </w:r>
    </w:p>
    <w:p w14:paraId="35DD2607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iCs/>
          <w:sz w:val="20"/>
          <w:szCs w:val="20"/>
        </w:rPr>
      </w:pPr>
    </w:p>
    <w:p w14:paraId="0008A3E7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 xml:space="preserve">Para fins de modificação de Lei, necessária a observância da </w:t>
      </w:r>
      <w:r w:rsidRPr="004D10AA">
        <w:rPr>
          <w:rFonts w:ascii="Verdana" w:hAnsi="Verdana" w:cs="Times New Roman"/>
          <w:sz w:val="20"/>
          <w:szCs w:val="20"/>
        </w:rPr>
        <w:t>Lei Complementar 95/98</w:t>
      </w:r>
      <w:r>
        <w:rPr>
          <w:rFonts w:ascii="Verdana" w:hAnsi="Verdana" w:cs="Times New Roman"/>
          <w:sz w:val="20"/>
          <w:szCs w:val="20"/>
        </w:rPr>
        <w:t>, que em seu</w:t>
      </w:r>
      <w:r w:rsidRPr="004D10AA">
        <w:rPr>
          <w:rFonts w:ascii="Verdana" w:hAnsi="Verdana" w:cs="Times New Roman"/>
          <w:sz w:val="20"/>
          <w:szCs w:val="20"/>
        </w:rPr>
        <w:t xml:space="preserve"> artigo 1º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4D10AA">
        <w:rPr>
          <w:rFonts w:ascii="Verdana" w:hAnsi="Verdana" w:cs="Times New Roman"/>
          <w:sz w:val="20"/>
          <w:szCs w:val="20"/>
        </w:rPr>
        <w:t xml:space="preserve">nos ensina: </w:t>
      </w:r>
    </w:p>
    <w:p w14:paraId="668481B9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“</w:t>
      </w:r>
      <w:proofErr w:type="spellStart"/>
      <w:r w:rsidRPr="004D10AA">
        <w:rPr>
          <w:rFonts w:ascii="Verdana" w:hAnsi="Verdana" w:cs="Times New Roman"/>
          <w:i/>
          <w:iCs/>
          <w:sz w:val="20"/>
          <w:szCs w:val="20"/>
        </w:rPr>
        <w:t>a</w:t>
      </w:r>
      <w:proofErr w:type="spellEnd"/>
      <w:r w:rsidRPr="004D10AA">
        <w:rPr>
          <w:rFonts w:ascii="Verdana" w:hAnsi="Verdana" w:cs="Times New Roman"/>
          <w:i/>
          <w:iCs/>
          <w:sz w:val="20"/>
          <w:szCs w:val="20"/>
        </w:rPr>
        <w:t xml:space="preserve"> elaboração, a redação, a </w:t>
      </w:r>
      <w:r w:rsidRPr="00C97BD3">
        <w:rPr>
          <w:rFonts w:ascii="Verdana" w:hAnsi="Verdana" w:cs="Times New Roman"/>
          <w:b/>
          <w:bCs/>
          <w:i/>
          <w:iCs/>
          <w:sz w:val="20"/>
          <w:szCs w:val="20"/>
        </w:rPr>
        <w:t>alteração</w:t>
      </w:r>
      <w:r w:rsidRPr="004D10AA">
        <w:rPr>
          <w:rFonts w:ascii="Verdana" w:hAnsi="Verdana" w:cs="Times New Roman"/>
          <w:i/>
          <w:iCs/>
          <w:sz w:val="20"/>
          <w:szCs w:val="20"/>
        </w:rPr>
        <w:t xml:space="preserve"> e a consolidação das leis obedecerão ao disposto neste Lei Complementar.</w:t>
      </w:r>
    </w:p>
    <w:p w14:paraId="047187E1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 xml:space="preserve">Artigo 7º, IV: </w:t>
      </w:r>
    </w:p>
    <w:p w14:paraId="1276728C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4D10AA">
        <w:rPr>
          <w:rFonts w:ascii="Verdana" w:hAnsi="Verdana" w:cs="Times New Roman"/>
          <w:sz w:val="20"/>
          <w:szCs w:val="20"/>
        </w:rPr>
        <w:t>“</w:t>
      </w:r>
      <w:r w:rsidRPr="004D10AA">
        <w:rPr>
          <w:rFonts w:ascii="Verdana" w:hAnsi="Verdana" w:cs="Times New Roman"/>
          <w:i/>
          <w:iCs/>
          <w:sz w:val="20"/>
          <w:szCs w:val="20"/>
        </w:rPr>
        <w:t>O primeiro artigo do texto indicará o objeto da lei e o respe</w:t>
      </w:r>
      <w:r>
        <w:rPr>
          <w:rFonts w:ascii="Verdana" w:hAnsi="Verdana" w:cs="Times New Roman"/>
          <w:i/>
          <w:iCs/>
          <w:sz w:val="20"/>
          <w:szCs w:val="20"/>
        </w:rPr>
        <w:t>ctiv</w:t>
      </w:r>
      <w:r w:rsidRPr="004D10AA">
        <w:rPr>
          <w:rFonts w:ascii="Verdana" w:hAnsi="Verdana" w:cs="Times New Roman"/>
          <w:i/>
          <w:iCs/>
          <w:sz w:val="20"/>
          <w:szCs w:val="20"/>
        </w:rPr>
        <w:t>o âmbito de aplicação, observados os seguintes princípios:</w:t>
      </w:r>
    </w:p>
    <w:p w14:paraId="651513FD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4D10AA">
        <w:rPr>
          <w:rFonts w:ascii="Verdana" w:hAnsi="Verdana" w:cs="Times New Roman"/>
          <w:i/>
          <w:iCs/>
          <w:sz w:val="20"/>
          <w:szCs w:val="20"/>
        </w:rPr>
        <w:t xml:space="preserve">IV- </w:t>
      </w:r>
      <w:proofErr w:type="gramStart"/>
      <w:r w:rsidRPr="004D10AA">
        <w:rPr>
          <w:rFonts w:ascii="Verdana" w:hAnsi="Verdana" w:cs="Times New Roman"/>
          <w:i/>
          <w:iCs/>
          <w:sz w:val="20"/>
          <w:szCs w:val="20"/>
        </w:rPr>
        <w:t>o</w:t>
      </w:r>
      <w:proofErr w:type="gramEnd"/>
      <w:r w:rsidRPr="004D10AA">
        <w:rPr>
          <w:rFonts w:ascii="Verdana" w:hAnsi="Verdana" w:cs="Times New Roman"/>
          <w:i/>
          <w:iCs/>
          <w:sz w:val="20"/>
          <w:szCs w:val="20"/>
        </w:rPr>
        <w:t xml:space="preserve"> mesmo assunto não poderá ser disciplinado por mais de uma lei, </w:t>
      </w:r>
      <w:r w:rsidRPr="004D10AA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exceto quando a subsequente se destine a complementar lei considerada básica, vinculando-se a esta por remissão expressa”. </w:t>
      </w:r>
      <w:r w:rsidRPr="004D10AA">
        <w:rPr>
          <w:rFonts w:ascii="Verdana" w:hAnsi="Verdana" w:cs="Times New Roman"/>
          <w:sz w:val="20"/>
          <w:szCs w:val="20"/>
        </w:rPr>
        <w:t>(grifo nosso).</w:t>
      </w:r>
    </w:p>
    <w:p w14:paraId="74ACB469" w14:textId="77777777" w:rsidR="00C97BD3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iCs/>
          <w:sz w:val="20"/>
          <w:szCs w:val="20"/>
        </w:rPr>
      </w:pPr>
    </w:p>
    <w:p w14:paraId="209228BE" w14:textId="77777777" w:rsidR="00C97BD3" w:rsidRPr="004D10AA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i/>
          <w:iCs/>
          <w:sz w:val="20"/>
          <w:szCs w:val="20"/>
        </w:rPr>
      </w:pPr>
    </w:p>
    <w:p w14:paraId="2231B999" w14:textId="1CDD5CD6" w:rsidR="00C97BD3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  <w:proofErr w:type="spellStart"/>
      <w:r w:rsidRPr="004D10AA">
        <w:rPr>
          <w:rFonts w:ascii="Verdana" w:hAnsi="Verdana" w:cs="Times New Roman"/>
          <w:i/>
          <w:iCs/>
          <w:sz w:val="20"/>
          <w:szCs w:val="20"/>
        </w:rPr>
        <w:t>Venia</w:t>
      </w:r>
      <w:proofErr w:type="spellEnd"/>
      <w:r w:rsidRPr="004D10AA">
        <w:rPr>
          <w:rFonts w:ascii="Verdana" w:hAnsi="Verdana" w:cs="Times New Roman"/>
          <w:i/>
          <w:iCs/>
          <w:sz w:val="20"/>
          <w:szCs w:val="20"/>
        </w:rPr>
        <w:t xml:space="preserve"> permissa, </w:t>
      </w:r>
      <w:r w:rsidRPr="004D10AA">
        <w:rPr>
          <w:rFonts w:ascii="Verdana" w:hAnsi="Verdana" w:cs="Times New Roman"/>
          <w:sz w:val="20"/>
          <w:szCs w:val="20"/>
        </w:rPr>
        <w:t xml:space="preserve">o Projeto de Lei em estudo se enquadra no dispositivo acima mencionado e, tendo em vista a existência de lei que versa sobre a mesma matéria, porém, pretendendo a sua a </w:t>
      </w:r>
      <w:r>
        <w:rPr>
          <w:rFonts w:ascii="Verdana" w:hAnsi="Verdana" w:cs="Times New Roman"/>
          <w:sz w:val="20"/>
          <w:szCs w:val="20"/>
        </w:rPr>
        <w:t>alteração e complementação</w:t>
      </w:r>
      <w:r w:rsidRPr="004D10AA">
        <w:rPr>
          <w:rFonts w:ascii="Verdana" w:hAnsi="Verdana" w:cs="Times New Roman"/>
          <w:sz w:val="20"/>
          <w:szCs w:val="20"/>
        </w:rPr>
        <w:t>, não vislumbramos nenhum óbice.</w:t>
      </w:r>
      <w:r w:rsidRPr="004D10AA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733F4239" w14:textId="5CDC85A8" w:rsidR="00C97BD3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8B173D1" w14:textId="06CD0CE4" w:rsidR="00BB076F" w:rsidRPr="00BB076F" w:rsidRDefault="00C97BD3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Entretanto, é de se </w:t>
      </w:r>
      <w:r w:rsidR="00BB076F">
        <w:rPr>
          <w:rFonts w:ascii="Verdana" w:hAnsi="Verdana" w:cs="Times New Roman"/>
          <w:b/>
          <w:bCs/>
          <w:sz w:val="20"/>
          <w:szCs w:val="20"/>
        </w:rPr>
        <w:t>ressaltar que o disposto n</w:t>
      </w:r>
      <w:r>
        <w:rPr>
          <w:rFonts w:ascii="Verdana" w:hAnsi="Verdana" w:cs="Times New Roman"/>
          <w:b/>
          <w:bCs/>
          <w:sz w:val="20"/>
          <w:szCs w:val="20"/>
        </w:rPr>
        <w:t xml:space="preserve">o artigo 3º </w:t>
      </w:r>
      <w:r w:rsidR="00BB076F" w:rsidRPr="00BB076F">
        <w:rPr>
          <w:rFonts w:ascii="Verdana" w:hAnsi="Verdana" w:cs="Times New Roman"/>
          <w:b/>
          <w:bCs/>
          <w:sz w:val="20"/>
          <w:szCs w:val="20"/>
        </w:rPr>
        <w:t xml:space="preserve">encontra-se vício pela inconstitucionalidade formal. </w:t>
      </w:r>
    </w:p>
    <w:p w14:paraId="2AB4FBD5" w14:textId="77777777" w:rsidR="00BB076F" w:rsidRPr="00BB076F" w:rsidRDefault="00BB076F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7C2DEB39" w14:textId="4B7D4247" w:rsidR="00BB076F" w:rsidRDefault="00BB076F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BB076F">
        <w:rPr>
          <w:rFonts w:ascii="Verdana" w:hAnsi="Verdana" w:cs="Times New Roman"/>
          <w:b/>
          <w:bCs/>
          <w:sz w:val="20"/>
          <w:szCs w:val="20"/>
        </w:rPr>
        <w:t xml:space="preserve">Isto porque, não pode o Poder Legislativo impor ao Poder Executivo prazo para regulamentação de lei, pois, cabe exclusivamente a este último, respeitados os limites constitucionais que disciplinam a matéria, realizar juízo de conveniência e oportunidade para edição do ato regulamentador. Desta forma, a imposição de prazo ao Executivo pelo Legislativo se torna inconstitucional, aconselhando-se a </w:t>
      </w:r>
      <w:r w:rsidRPr="00BB076F">
        <w:rPr>
          <w:rFonts w:ascii="Verdana" w:hAnsi="Verdana" w:cs="Times New Roman"/>
          <w:b/>
          <w:bCs/>
          <w:sz w:val="20"/>
          <w:szCs w:val="20"/>
          <w:u w:val="single"/>
        </w:rPr>
        <w:t>supressão do artigo acima mencionado.</w:t>
      </w:r>
    </w:p>
    <w:p w14:paraId="1F64893E" w14:textId="22F27C57" w:rsidR="00BB076F" w:rsidRDefault="00BB076F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4B98D12C" w14:textId="409D6E55" w:rsidR="00BB076F" w:rsidRDefault="00BB076F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729E9B8D" w14:textId="49C266E9" w:rsidR="00BB076F" w:rsidRDefault="00BB076F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41F2C7B2" w14:textId="77777777" w:rsidR="00BB076F" w:rsidRPr="00BB076F" w:rsidRDefault="00BB076F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08A5E98A" w14:textId="77777777" w:rsidR="00BB076F" w:rsidRPr="00BB076F" w:rsidRDefault="00BB076F" w:rsidP="00BB076F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BB076F">
        <w:rPr>
          <w:rFonts w:ascii="Verdana" w:hAnsi="Verdana" w:cs="Times New Roman"/>
          <w:b/>
          <w:sz w:val="20"/>
          <w:szCs w:val="20"/>
        </w:rPr>
        <w:lastRenderedPageBreak/>
        <w:t>CONCLUSÃO</w:t>
      </w:r>
    </w:p>
    <w:p w14:paraId="5FFD021C" w14:textId="77777777" w:rsidR="00BB076F" w:rsidRPr="00BB076F" w:rsidRDefault="00BB076F" w:rsidP="00BB076F">
      <w:pPr>
        <w:pStyle w:val="PargrafodaLista"/>
        <w:spacing w:after="160" w:line="360" w:lineRule="auto"/>
        <w:ind w:left="720" w:firstLine="0"/>
        <w:jc w:val="both"/>
        <w:rPr>
          <w:rFonts w:ascii="Verdana" w:hAnsi="Verdana" w:cs="Times New Roman"/>
          <w:b/>
          <w:sz w:val="20"/>
          <w:szCs w:val="20"/>
        </w:rPr>
      </w:pPr>
    </w:p>
    <w:p w14:paraId="0846E81B" w14:textId="77C542CF" w:rsidR="00BB076F" w:rsidRPr="00BB076F" w:rsidRDefault="00BB076F" w:rsidP="00BB076F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BB076F">
        <w:rPr>
          <w:rFonts w:ascii="Verdana" w:hAnsi="Verdana" w:cs="Times New Roman"/>
          <w:sz w:val="20"/>
          <w:szCs w:val="20"/>
        </w:rPr>
        <w:t xml:space="preserve">Em face do exposto, em nosso modesto entendimento, opinamos pelo prosseguimento das demais fases do legislativo, entendendo que Projeto de Lei </w:t>
      </w:r>
      <w:proofErr w:type="gramStart"/>
      <w:r w:rsidRPr="00BB076F">
        <w:rPr>
          <w:rFonts w:ascii="Verdana" w:hAnsi="Verdana" w:cs="Times New Roman"/>
          <w:sz w:val="20"/>
          <w:szCs w:val="20"/>
        </w:rPr>
        <w:t>nº  3</w:t>
      </w:r>
      <w:r>
        <w:rPr>
          <w:rFonts w:ascii="Verdana" w:hAnsi="Verdana" w:cs="Times New Roman"/>
          <w:sz w:val="20"/>
          <w:szCs w:val="20"/>
        </w:rPr>
        <w:t>15</w:t>
      </w:r>
      <w:proofErr w:type="gramEnd"/>
      <w:r w:rsidRPr="00BB076F">
        <w:rPr>
          <w:rFonts w:ascii="Verdana" w:hAnsi="Verdana" w:cs="Times New Roman"/>
          <w:sz w:val="20"/>
          <w:szCs w:val="20"/>
        </w:rPr>
        <w:t xml:space="preserve">/2023, encontra-se de acordo com as normas pertinentes cuja iniciativa também é do Legislativo, não existindo óbice em caráter constitucional ou legal para o seu regular trâmite, </w:t>
      </w:r>
      <w:r w:rsidRPr="00BB076F">
        <w:rPr>
          <w:rFonts w:ascii="Verdana" w:hAnsi="Verdana" w:cs="Times New Roman"/>
          <w:b/>
          <w:bCs/>
          <w:sz w:val="20"/>
          <w:szCs w:val="20"/>
          <w:u w:val="single"/>
        </w:rPr>
        <w:t>com exceção ao artigo 3º conforme fundamentado, recomendando-se a sua supressão.</w:t>
      </w:r>
    </w:p>
    <w:p w14:paraId="234317EC" w14:textId="77777777" w:rsidR="00BB076F" w:rsidRPr="00BB076F" w:rsidRDefault="00BB076F" w:rsidP="00BB076F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5FF9707B" w14:textId="77777777" w:rsidR="00BB076F" w:rsidRPr="00BB076F" w:rsidRDefault="00BB076F" w:rsidP="00BB076F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BB076F">
        <w:rPr>
          <w:rFonts w:ascii="Verdana" w:hAnsi="Verdana" w:cs="Times New Roman"/>
          <w:sz w:val="20"/>
          <w:szCs w:val="20"/>
        </w:rPr>
        <w:t>É o parecer.</w:t>
      </w:r>
    </w:p>
    <w:p w14:paraId="7F5CFDEA" w14:textId="77777777" w:rsidR="00BB076F" w:rsidRPr="00BB076F" w:rsidRDefault="00BB076F" w:rsidP="00BB076F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2D85F50B" w14:textId="77777777" w:rsidR="00BB076F" w:rsidRPr="00BB076F" w:rsidRDefault="00BB076F" w:rsidP="00BB076F">
      <w:pPr>
        <w:spacing w:line="360" w:lineRule="auto"/>
        <w:ind w:firstLine="709"/>
        <w:jc w:val="both"/>
        <w:rPr>
          <w:rFonts w:ascii="Verdana" w:hAnsi="Verdana" w:cs="Times New Roman"/>
          <w:b/>
          <w:sz w:val="20"/>
          <w:szCs w:val="20"/>
        </w:rPr>
      </w:pPr>
      <w:r w:rsidRPr="00BB076F">
        <w:rPr>
          <w:rFonts w:ascii="Verdana" w:hAnsi="Verdana" w:cs="Times New Roman"/>
          <w:b/>
          <w:sz w:val="20"/>
          <w:szCs w:val="20"/>
        </w:rPr>
        <w:t>ADRIANO COTTA DE BARROS</w:t>
      </w:r>
    </w:p>
    <w:p w14:paraId="0716645E" w14:textId="21674354" w:rsidR="00BB076F" w:rsidRPr="00BB076F" w:rsidRDefault="00BB076F" w:rsidP="00BB076F">
      <w:pPr>
        <w:spacing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Subprocurador do Legislativo</w:t>
      </w:r>
    </w:p>
    <w:p w14:paraId="11DCA4F8" w14:textId="77777777" w:rsidR="00BB076F" w:rsidRPr="00C97BD3" w:rsidRDefault="00BB076F" w:rsidP="00C97BD3">
      <w:pPr>
        <w:spacing w:line="360" w:lineRule="auto"/>
        <w:ind w:firstLine="567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8A9DB60" w14:textId="77777777" w:rsidR="00C97BD3" w:rsidRDefault="00C97BD3" w:rsidP="00C97BD3">
      <w:pPr>
        <w:spacing w:line="360" w:lineRule="auto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2D49C745" w14:textId="77777777" w:rsidR="00C97BD3" w:rsidRPr="004D10AA" w:rsidRDefault="00C97BD3" w:rsidP="00C97BD3">
      <w:pPr>
        <w:rPr>
          <w:rFonts w:ascii="Verdana" w:hAnsi="Verdana"/>
          <w:sz w:val="20"/>
          <w:szCs w:val="20"/>
        </w:rPr>
      </w:pPr>
    </w:p>
    <w:p w14:paraId="026E79E3" w14:textId="77777777" w:rsidR="00C97BD3" w:rsidRPr="004D10AA" w:rsidRDefault="00C97BD3" w:rsidP="00C97BD3">
      <w:pPr>
        <w:rPr>
          <w:rFonts w:ascii="Verdana" w:hAnsi="Verdana"/>
          <w:sz w:val="20"/>
          <w:szCs w:val="20"/>
        </w:rPr>
      </w:pPr>
    </w:p>
    <w:p w14:paraId="6346A871" w14:textId="77777777" w:rsidR="00C97BD3" w:rsidRPr="004D10AA" w:rsidRDefault="00C97BD3" w:rsidP="00C97BD3">
      <w:pPr>
        <w:rPr>
          <w:rFonts w:ascii="Verdana" w:hAnsi="Verdana"/>
          <w:sz w:val="20"/>
          <w:szCs w:val="20"/>
        </w:rPr>
      </w:pPr>
    </w:p>
    <w:p w14:paraId="28B8F2FC" w14:textId="77777777" w:rsidR="00C97BD3" w:rsidRPr="004D10AA" w:rsidRDefault="00C97BD3" w:rsidP="00C97BD3">
      <w:pPr>
        <w:rPr>
          <w:rFonts w:ascii="Verdana" w:hAnsi="Verdana"/>
          <w:sz w:val="20"/>
          <w:szCs w:val="20"/>
        </w:rPr>
      </w:pPr>
    </w:p>
    <w:p w14:paraId="5A4E88A9" w14:textId="77777777" w:rsidR="00C97BD3" w:rsidRPr="004D10AA" w:rsidRDefault="00C97BD3" w:rsidP="00C97BD3">
      <w:pPr>
        <w:rPr>
          <w:rFonts w:ascii="Verdana" w:hAnsi="Verdana"/>
          <w:sz w:val="20"/>
          <w:szCs w:val="20"/>
        </w:rPr>
      </w:pPr>
    </w:p>
    <w:p w14:paraId="0514464E" w14:textId="77777777" w:rsidR="005C377A" w:rsidRDefault="005C377A"/>
    <w:sectPr w:rsidR="005C377A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DD6F" w14:textId="77777777" w:rsidR="003C34B0" w:rsidRDefault="00BB076F">
    <w:pPr>
      <w:pStyle w:val="Rodap"/>
    </w:pPr>
  </w:p>
  <w:p w14:paraId="09FFA16D" w14:textId="77777777" w:rsidR="003C34B0" w:rsidRDefault="00BB076F">
    <w:pPr>
      <w:pStyle w:val="Rodap"/>
    </w:pPr>
  </w:p>
  <w:p w14:paraId="2EE08B9F" w14:textId="77777777" w:rsidR="003C34B0" w:rsidRDefault="00BB076F">
    <w:pPr>
      <w:pStyle w:val="Rodap"/>
    </w:pPr>
  </w:p>
  <w:p w14:paraId="77590F00" w14:textId="77777777" w:rsidR="003C34B0" w:rsidRDefault="00BB076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9071" w14:textId="77777777" w:rsidR="003C34B0" w:rsidRDefault="00BB07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06E10E" wp14:editId="39F48A63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AF8BE" w14:textId="77777777" w:rsidR="003C34B0" w:rsidRDefault="00BB076F">
    <w:pPr>
      <w:pStyle w:val="Cabealho"/>
    </w:pPr>
  </w:p>
  <w:p w14:paraId="66258BFB" w14:textId="77777777" w:rsidR="003C34B0" w:rsidRDefault="00BB076F">
    <w:pPr>
      <w:pStyle w:val="Cabealho"/>
    </w:pPr>
  </w:p>
  <w:p w14:paraId="4977F8DF" w14:textId="77777777" w:rsidR="003C34B0" w:rsidRDefault="00BB07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3C5B"/>
    <w:multiLevelType w:val="hybridMultilevel"/>
    <w:tmpl w:val="7DA00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D3"/>
    <w:rsid w:val="005C377A"/>
    <w:rsid w:val="00BB076F"/>
    <w:rsid w:val="00C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424A"/>
  <w15:chartTrackingRefBased/>
  <w15:docId w15:val="{019A33E1-0B10-425F-93E3-6D8A145B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BD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BD3"/>
  </w:style>
  <w:style w:type="paragraph" w:styleId="Rodap">
    <w:name w:val="footer"/>
    <w:basedOn w:val="Normal"/>
    <w:link w:val="RodapChar"/>
    <w:uiPriority w:val="99"/>
    <w:unhideWhenUsed/>
    <w:rsid w:val="00C9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BD3"/>
  </w:style>
  <w:style w:type="paragraph" w:styleId="PargrafodaLista">
    <w:name w:val="List Paragraph"/>
    <w:basedOn w:val="Normal"/>
    <w:uiPriority w:val="34"/>
    <w:qFormat/>
    <w:rsid w:val="00C97BD3"/>
    <w:pPr>
      <w:spacing w:after="0" w:line="240" w:lineRule="auto"/>
      <w:ind w:firstLine="170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Cotta de Barros e Silva</dc:creator>
  <cp:keywords/>
  <dc:description/>
  <cp:lastModifiedBy>Adriano Cotta de Barros e Silva</cp:lastModifiedBy>
  <cp:revision>1</cp:revision>
  <cp:lastPrinted>2024-04-22T19:26:00Z</cp:lastPrinted>
  <dcterms:created xsi:type="dcterms:W3CDTF">2024-04-22T19:06:00Z</dcterms:created>
  <dcterms:modified xsi:type="dcterms:W3CDTF">2024-04-22T19:28:00Z</dcterms:modified>
</cp:coreProperties>
</file>