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D775" w14:textId="191F4699" w:rsidR="004C1670" w:rsidRDefault="004C1670" w:rsidP="004C1670">
      <w:pPr>
        <w:jc w:val="right"/>
        <w:rPr>
          <w:rFonts w:ascii="Verdana" w:eastAsiaTheme="minorHAnsi" w:hAnsi="Verdana"/>
          <w:kern w:val="0"/>
        </w:rPr>
      </w:pPr>
      <w:r>
        <w:rPr>
          <w:rFonts w:ascii="Verdana" w:hAnsi="Verdana"/>
        </w:rPr>
        <w:t xml:space="preserve">Sete Lagoas, </w:t>
      </w:r>
      <w:r w:rsidR="00C91250">
        <w:rPr>
          <w:rFonts w:ascii="Verdana" w:hAnsi="Verdana"/>
        </w:rPr>
        <w:t>15</w:t>
      </w:r>
      <w:r>
        <w:rPr>
          <w:rFonts w:ascii="Verdana" w:hAnsi="Verdana"/>
        </w:rPr>
        <w:t xml:space="preserve"> de </w:t>
      </w:r>
      <w:r w:rsidR="00C91250">
        <w:rPr>
          <w:rFonts w:ascii="Verdana" w:hAnsi="Verdana"/>
        </w:rPr>
        <w:t>março</w:t>
      </w:r>
      <w:r>
        <w:rPr>
          <w:rFonts w:ascii="Verdana" w:hAnsi="Verdana"/>
        </w:rPr>
        <w:t xml:space="preserve"> de 2024.</w:t>
      </w:r>
    </w:p>
    <w:p w14:paraId="6B2A9EEB" w14:textId="77777777" w:rsidR="00C91250" w:rsidRDefault="00C91250" w:rsidP="004C1670">
      <w:pPr>
        <w:jc w:val="both"/>
        <w:rPr>
          <w:rFonts w:ascii="Verdana" w:hAnsi="Verdana"/>
          <w:b/>
        </w:rPr>
      </w:pPr>
    </w:p>
    <w:p w14:paraId="392C76E6" w14:textId="3091F9D8" w:rsidR="004C1670" w:rsidRDefault="004C1670" w:rsidP="004C1670">
      <w:pPr>
        <w:jc w:val="both"/>
        <w:rPr>
          <w:rFonts w:ascii="Verdana" w:hAnsi="Verdana"/>
        </w:rPr>
      </w:pPr>
      <w:r>
        <w:rPr>
          <w:rFonts w:ascii="Verdana" w:hAnsi="Verdana"/>
          <w:b/>
        </w:rPr>
        <w:t>PARECER:</w:t>
      </w:r>
      <w:r>
        <w:rPr>
          <w:rFonts w:ascii="Verdana" w:hAnsi="Verdana"/>
        </w:rPr>
        <w:t xml:space="preserve"> </w:t>
      </w:r>
      <w:proofErr w:type="spellStart"/>
      <w:r>
        <w:rPr>
          <w:rFonts w:ascii="Verdana" w:hAnsi="Verdana"/>
        </w:rPr>
        <w:t>PGL.FR.s</w:t>
      </w:r>
      <w:proofErr w:type="spellEnd"/>
      <w:r>
        <w:rPr>
          <w:rFonts w:ascii="Verdana" w:hAnsi="Verdana"/>
        </w:rPr>
        <w:t>/nº-2024.</w:t>
      </w:r>
    </w:p>
    <w:p w14:paraId="206B880C" w14:textId="77777777" w:rsidR="00C91250" w:rsidRDefault="00C91250" w:rsidP="004C1670">
      <w:pPr>
        <w:jc w:val="both"/>
        <w:rPr>
          <w:rFonts w:ascii="Verdana" w:hAnsi="Verdana"/>
          <w:b/>
        </w:rPr>
      </w:pPr>
    </w:p>
    <w:p w14:paraId="79DA35C2" w14:textId="554E1720" w:rsidR="004C1670" w:rsidRDefault="004C1670" w:rsidP="004C1670">
      <w:pPr>
        <w:jc w:val="both"/>
        <w:rPr>
          <w:rFonts w:ascii="Verdana" w:hAnsi="Verdana"/>
        </w:rPr>
      </w:pPr>
      <w:r>
        <w:rPr>
          <w:rFonts w:ascii="Verdana" w:hAnsi="Verdana"/>
          <w:b/>
        </w:rPr>
        <w:t>Matéria</w:t>
      </w:r>
      <w:r>
        <w:rPr>
          <w:rFonts w:ascii="Verdana" w:hAnsi="Verdana"/>
        </w:rPr>
        <w:t>: Projeto de Lei nº 3</w:t>
      </w:r>
      <w:r w:rsidR="00C91250">
        <w:rPr>
          <w:rFonts w:ascii="Verdana" w:hAnsi="Verdana"/>
        </w:rPr>
        <w:t>56</w:t>
      </w:r>
      <w:r>
        <w:rPr>
          <w:rFonts w:ascii="Verdana" w:hAnsi="Verdana"/>
        </w:rPr>
        <w:t>/202</w:t>
      </w:r>
      <w:r w:rsidR="00C91250">
        <w:rPr>
          <w:rFonts w:ascii="Verdana" w:hAnsi="Verdana"/>
        </w:rPr>
        <w:t>3</w:t>
      </w:r>
      <w:r>
        <w:rPr>
          <w:rFonts w:ascii="Verdana" w:hAnsi="Verdana"/>
        </w:rPr>
        <w:t xml:space="preserve"> que “</w:t>
      </w:r>
      <w:r w:rsidR="00C91250">
        <w:rPr>
          <w:rFonts w:ascii="Verdana" w:hAnsi="Verdana"/>
        </w:rPr>
        <w:t>Revoga as Leis nº 285, de 30 de novembro de 1951, e nº 5.406, de 22 de agosto de 1997 e alterações posteriores</w:t>
      </w:r>
      <w:r w:rsidR="00D9719A">
        <w:rPr>
          <w:rFonts w:ascii="Verdana" w:hAnsi="Verdana"/>
        </w:rPr>
        <w:t>”.</w:t>
      </w:r>
    </w:p>
    <w:p w14:paraId="6731E220" w14:textId="77777777" w:rsidR="00C91250" w:rsidRDefault="00C91250" w:rsidP="004C1670">
      <w:pPr>
        <w:pBdr>
          <w:bottom w:val="single" w:sz="12" w:space="1" w:color="auto"/>
        </w:pBdr>
        <w:jc w:val="both"/>
        <w:rPr>
          <w:rFonts w:ascii="Verdana" w:hAnsi="Verdana"/>
          <w:b/>
        </w:rPr>
      </w:pPr>
    </w:p>
    <w:p w14:paraId="434D5C5F" w14:textId="4DC16668" w:rsidR="004C1670" w:rsidRDefault="004C1670" w:rsidP="004C1670">
      <w:pPr>
        <w:pBdr>
          <w:bottom w:val="single" w:sz="12" w:space="1" w:color="auto"/>
        </w:pBdr>
        <w:jc w:val="both"/>
        <w:rPr>
          <w:rFonts w:ascii="Verdana" w:hAnsi="Verdana"/>
        </w:rPr>
      </w:pPr>
      <w:r>
        <w:rPr>
          <w:rFonts w:ascii="Verdana" w:hAnsi="Verdana"/>
          <w:b/>
        </w:rPr>
        <w:t>Autoria:</w:t>
      </w:r>
      <w:r>
        <w:rPr>
          <w:rFonts w:ascii="Verdana" w:hAnsi="Verdana"/>
        </w:rPr>
        <w:t xml:space="preserve"> </w:t>
      </w:r>
      <w:r w:rsidR="003D6F4C">
        <w:rPr>
          <w:rFonts w:ascii="Verdana" w:hAnsi="Verdana"/>
        </w:rPr>
        <w:t>Poder Executivo Municipal</w:t>
      </w:r>
      <w:r>
        <w:rPr>
          <w:rFonts w:ascii="Verdana" w:hAnsi="Verdana"/>
        </w:rPr>
        <w:t>.</w:t>
      </w:r>
    </w:p>
    <w:p w14:paraId="09DD7CF6" w14:textId="77777777" w:rsidR="004C1670" w:rsidRDefault="004C1670" w:rsidP="004C1670">
      <w:pPr>
        <w:pStyle w:val="Padro"/>
        <w:shd w:val="clear" w:color="auto" w:fill="FFFFFF"/>
        <w:spacing w:line="300" w:lineRule="atLeast"/>
        <w:ind w:left="3000" w:right="300"/>
        <w:rPr>
          <w:sz w:val="28"/>
          <w:szCs w:val="28"/>
        </w:rPr>
      </w:pPr>
    </w:p>
    <w:p w14:paraId="110F91AF" w14:textId="2E669A87" w:rsidR="004C1670" w:rsidRDefault="004C1670" w:rsidP="004C1670">
      <w:pPr>
        <w:ind w:firstLine="2268"/>
        <w:jc w:val="both"/>
        <w:rPr>
          <w:rFonts w:ascii="Verdana" w:hAnsi="Verdana"/>
        </w:rPr>
      </w:pPr>
      <w:r>
        <w:rPr>
          <w:rFonts w:ascii="Verdana" w:hAnsi="Verdana"/>
        </w:rPr>
        <w:t xml:space="preserve">Encontra-se nesta Procuradoria, para análise e parecer, a proposição epigrafada, cuja iniciativa </w:t>
      </w:r>
      <w:r w:rsidR="00C91250">
        <w:rPr>
          <w:rFonts w:ascii="Verdana" w:hAnsi="Verdana"/>
        </w:rPr>
        <w:t>pertence ao Chefe do Executivo Municipal</w:t>
      </w:r>
      <w:r>
        <w:rPr>
          <w:rFonts w:ascii="Verdana" w:hAnsi="Verdana"/>
        </w:rPr>
        <w:t>, devidamente acompanhada de fundamentação a respeito.</w:t>
      </w:r>
    </w:p>
    <w:p w14:paraId="1D548F6A" w14:textId="1346B9AB" w:rsidR="004C1670" w:rsidRDefault="004C1670" w:rsidP="004C1670">
      <w:pPr>
        <w:jc w:val="both"/>
        <w:rPr>
          <w:rFonts w:ascii="Verdana" w:hAnsi="Verdana"/>
        </w:rPr>
      </w:pPr>
      <w:r>
        <w:rPr>
          <w:rFonts w:ascii="Verdana" w:hAnsi="Verdana"/>
        </w:rPr>
        <w:t xml:space="preserve">                           Por meio da propositura em tela, visa o </w:t>
      </w:r>
      <w:r w:rsidR="00C91250">
        <w:rPr>
          <w:rFonts w:ascii="Verdana" w:hAnsi="Verdana"/>
        </w:rPr>
        <w:t xml:space="preserve">senhor Prefeito </w:t>
      </w:r>
      <w:r w:rsidR="00232924">
        <w:rPr>
          <w:rFonts w:ascii="Verdana" w:hAnsi="Verdana"/>
        </w:rPr>
        <w:t>ab-rogar</w:t>
      </w:r>
      <w:r w:rsidR="00C91250">
        <w:rPr>
          <w:rFonts w:ascii="Verdana" w:hAnsi="Verdana"/>
        </w:rPr>
        <w:t xml:space="preserve"> e derrogar leis municipais que atualmente encontram-se revogadas tacitamente por legislações posteriores </w:t>
      </w:r>
      <w:r w:rsidR="00232924">
        <w:rPr>
          <w:rFonts w:ascii="Verdana" w:hAnsi="Verdana"/>
        </w:rPr>
        <w:t>que regulam inteiramente a</w:t>
      </w:r>
      <w:r w:rsidR="003D6F4C">
        <w:rPr>
          <w:rFonts w:ascii="Verdana" w:hAnsi="Verdana"/>
        </w:rPr>
        <w:t>s</w:t>
      </w:r>
      <w:r w:rsidR="00232924">
        <w:rPr>
          <w:rFonts w:ascii="Verdana" w:hAnsi="Verdana"/>
        </w:rPr>
        <w:t xml:space="preserve"> matéria</w:t>
      </w:r>
      <w:r w:rsidR="003D6F4C">
        <w:rPr>
          <w:rFonts w:ascii="Verdana" w:hAnsi="Verdana"/>
        </w:rPr>
        <w:t>s</w:t>
      </w:r>
      <w:r w:rsidR="00232924">
        <w:rPr>
          <w:rFonts w:ascii="Verdana" w:hAnsi="Verdana"/>
        </w:rPr>
        <w:t xml:space="preserve"> de que tratava</w:t>
      </w:r>
      <w:r w:rsidR="003D6F4C">
        <w:rPr>
          <w:rFonts w:ascii="Verdana" w:hAnsi="Verdana"/>
        </w:rPr>
        <w:t>m</w:t>
      </w:r>
      <w:r w:rsidR="00232924">
        <w:rPr>
          <w:rFonts w:ascii="Verdana" w:hAnsi="Verdana"/>
        </w:rPr>
        <w:t xml:space="preserve"> a</w:t>
      </w:r>
      <w:r w:rsidR="003D6F4C">
        <w:rPr>
          <w:rFonts w:ascii="Verdana" w:hAnsi="Verdana"/>
        </w:rPr>
        <w:t>s</w:t>
      </w:r>
      <w:r w:rsidR="00232924">
        <w:rPr>
          <w:rFonts w:ascii="Verdana" w:hAnsi="Verdana"/>
        </w:rPr>
        <w:t xml:space="preserve"> lei</w:t>
      </w:r>
      <w:r w:rsidR="003D6F4C">
        <w:rPr>
          <w:rFonts w:ascii="Verdana" w:hAnsi="Verdana"/>
        </w:rPr>
        <w:t>s</w:t>
      </w:r>
      <w:r w:rsidR="00232924">
        <w:rPr>
          <w:rFonts w:ascii="Verdana" w:hAnsi="Verdana"/>
        </w:rPr>
        <w:t xml:space="preserve"> anterior</w:t>
      </w:r>
      <w:r w:rsidR="003D6F4C">
        <w:rPr>
          <w:rFonts w:ascii="Verdana" w:hAnsi="Verdana"/>
        </w:rPr>
        <w:t>es.</w:t>
      </w:r>
      <w:r w:rsidR="00C91250">
        <w:rPr>
          <w:rFonts w:ascii="Verdana" w:hAnsi="Verdana"/>
        </w:rPr>
        <w:t xml:space="preserve"> </w:t>
      </w:r>
    </w:p>
    <w:p w14:paraId="500E88C2" w14:textId="77777777" w:rsidR="004C1670" w:rsidRDefault="004C1670" w:rsidP="004C1670">
      <w:pPr>
        <w:jc w:val="both"/>
        <w:rPr>
          <w:rFonts w:ascii="Verdana" w:hAnsi="Verdana"/>
        </w:rPr>
      </w:pPr>
      <w:r>
        <w:rPr>
          <w:rFonts w:ascii="Verdana" w:hAnsi="Verdana"/>
        </w:rPr>
        <w:t xml:space="preserve">                           Justificando a propositura, seu autor menciona que:</w:t>
      </w:r>
    </w:p>
    <w:p w14:paraId="0224F3E5" w14:textId="77777777" w:rsidR="003B467C" w:rsidRDefault="003B467C" w:rsidP="003B467C">
      <w:pPr>
        <w:jc w:val="both"/>
        <w:rPr>
          <w:rFonts w:ascii="Verdana" w:hAnsi="Verdana"/>
          <w:i/>
          <w:iCs/>
        </w:rPr>
      </w:pPr>
      <w:r>
        <w:rPr>
          <w:rFonts w:ascii="Verdana" w:hAnsi="Verdana"/>
          <w:i/>
          <w:iCs/>
        </w:rPr>
        <w:t xml:space="preserve">                          </w:t>
      </w:r>
    </w:p>
    <w:p w14:paraId="7856449A" w14:textId="3A9F2C14" w:rsidR="003B467C" w:rsidRDefault="003B467C" w:rsidP="003B467C">
      <w:pPr>
        <w:jc w:val="both"/>
        <w:rPr>
          <w:rFonts w:ascii="Verdana" w:hAnsi="Verdana"/>
          <w:i/>
          <w:iCs/>
          <w:sz w:val="20"/>
          <w:szCs w:val="20"/>
        </w:rPr>
      </w:pPr>
      <w:r>
        <w:rPr>
          <w:rFonts w:ascii="Verdana" w:hAnsi="Verdana"/>
          <w:i/>
          <w:iCs/>
        </w:rPr>
        <w:t xml:space="preserve">          </w:t>
      </w:r>
      <w:r w:rsidRPr="003B467C">
        <w:rPr>
          <w:rFonts w:ascii="Verdana" w:hAnsi="Verdana"/>
          <w:i/>
          <w:iCs/>
          <w:sz w:val="20"/>
          <w:szCs w:val="20"/>
        </w:rPr>
        <w:t xml:space="preserve">               </w:t>
      </w:r>
      <w:r>
        <w:rPr>
          <w:rFonts w:ascii="Verdana" w:hAnsi="Verdana"/>
          <w:i/>
          <w:iCs/>
          <w:sz w:val="20"/>
          <w:szCs w:val="20"/>
        </w:rPr>
        <w:t xml:space="preserve">     </w:t>
      </w:r>
      <w:r w:rsidRPr="003B467C">
        <w:rPr>
          <w:rFonts w:ascii="Verdana" w:hAnsi="Verdana"/>
          <w:i/>
          <w:iCs/>
          <w:sz w:val="20"/>
          <w:szCs w:val="20"/>
        </w:rPr>
        <w:t xml:space="preserve"> “</w:t>
      </w:r>
      <w:r>
        <w:rPr>
          <w:rFonts w:ascii="Verdana" w:hAnsi="Verdana"/>
          <w:i/>
          <w:iCs/>
          <w:sz w:val="20"/>
          <w:szCs w:val="20"/>
        </w:rPr>
        <w:t>(...)</w:t>
      </w:r>
    </w:p>
    <w:p w14:paraId="3A70594E" w14:textId="7BB0F202" w:rsidR="003B467C" w:rsidRPr="003B467C" w:rsidRDefault="003B467C" w:rsidP="003B467C">
      <w:pPr>
        <w:jc w:val="both"/>
        <w:rPr>
          <w:i/>
          <w:iCs/>
          <w:sz w:val="20"/>
          <w:szCs w:val="20"/>
        </w:rPr>
      </w:pPr>
      <w:r>
        <w:rPr>
          <w:rFonts w:ascii="Verdana" w:hAnsi="Verdana"/>
          <w:i/>
          <w:iCs/>
          <w:sz w:val="20"/>
          <w:szCs w:val="20"/>
        </w:rPr>
        <w:t xml:space="preserve">                                 </w:t>
      </w:r>
      <w:r w:rsidRPr="003B467C">
        <w:rPr>
          <w:i/>
          <w:iCs/>
          <w:sz w:val="20"/>
          <w:szCs w:val="20"/>
        </w:rPr>
        <w:t>Inicialmente é importante esclarecer que se tratam de disposições legais tacitamente revogadas, em razão da regulação exauriente das matérias correlatas por legislações posteriores, nos termos do art. 2º, §1º, da Lei de Introdução às normas do Direito Brasileiro – LINDB, abaixo transcrito:</w:t>
      </w:r>
    </w:p>
    <w:p w14:paraId="031ECE9F" w14:textId="77777777" w:rsidR="003B467C" w:rsidRPr="003B467C" w:rsidRDefault="003B467C" w:rsidP="003B467C">
      <w:pPr>
        <w:ind w:firstLine="2268"/>
        <w:jc w:val="both"/>
        <w:rPr>
          <w:i/>
          <w:iCs/>
          <w:sz w:val="20"/>
          <w:szCs w:val="20"/>
        </w:rPr>
      </w:pPr>
    </w:p>
    <w:p w14:paraId="4FE94F9A" w14:textId="77777777" w:rsidR="003B467C" w:rsidRPr="003B467C" w:rsidRDefault="003B467C" w:rsidP="003B467C">
      <w:pPr>
        <w:ind w:left="2268"/>
        <w:jc w:val="both"/>
        <w:rPr>
          <w:i/>
          <w:iCs/>
          <w:sz w:val="20"/>
          <w:szCs w:val="20"/>
        </w:rPr>
      </w:pPr>
      <w:r w:rsidRPr="003B467C">
        <w:rPr>
          <w:i/>
          <w:iCs/>
          <w:sz w:val="20"/>
          <w:szCs w:val="20"/>
        </w:rPr>
        <w:t>Art. 2</w:t>
      </w:r>
      <w:r w:rsidRPr="003B467C">
        <w:rPr>
          <w:i/>
          <w:iCs/>
          <w:sz w:val="20"/>
          <w:szCs w:val="20"/>
          <w:u w:val="single"/>
          <w:vertAlign w:val="superscript"/>
        </w:rPr>
        <w:t>o</w:t>
      </w:r>
      <w:r w:rsidRPr="003B467C">
        <w:rPr>
          <w:i/>
          <w:iCs/>
          <w:sz w:val="20"/>
          <w:szCs w:val="20"/>
          <w:vertAlign w:val="superscript"/>
        </w:rPr>
        <w:t xml:space="preserve"> </w:t>
      </w:r>
      <w:r w:rsidRPr="003B467C">
        <w:rPr>
          <w:i/>
          <w:iCs/>
          <w:sz w:val="20"/>
          <w:szCs w:val="20"/>
        </w:rPr>
        <w:t>Não se destinando à vigência temporária, a lei terá vigor até que outra a modifique ou revogue.</w:t>
      </w:r>
    </w:p>
    <w:p w14:paraId="449F965F" w14:textId="77777777" w:rsidR="003B467C" w:rsidRPr="003B467C" w:rsidRDefault="003B467C" w:rsidP="003B467C">
      <w:pPr>
        <w:ind w:left="2268"/>
        <w:jc w:val="both"/>
        <w:rPr>
          <w:i/>
          <w:iCs/>
          <w:sz w:val="20"/>
          <w:szCs w:val="20"/>
        </w:rPr>
      </w:pPr>
      <w:r w:rsidRPr="003B467C">
        <w:rPr>
          <w:i/>
          <w:iCs/>
          <w:sz w:val="20"/>
          <w:szCs w:val="20"/>
        </w:rPr>
        <w:t>§ 1</w:t>
      </w:r>
      <w:r w:rsidRPr="003B467C">
        <w:rPr>
          <w:i/>
          <w:iCs/>
          <w:sz w:val="20"/>
          <w:szCs w:val="20"/>
          <w:u w:val="single"/>
          <w:vertAlign w:val="superscript"/>
        </w:rPr>
        <w:t>o</w:t>
      </w:r>
      <w:r w:rsidRPr="003B467C">
        <w:rPr>
          <w:i/>
          <w:iCs/>
          <w:sz w:val="20"/>
          <w:szCs w:val="20"/>
        </w:rPr>
        <w:t xml:space="preserve"> A lei posterior revoga a anterior quando expressamente o declare, quando seja com ela incompatível ou quando regule inteiramente a matéria de que tratava a lei anterior.</w:t>
      </w:r>
    </w:p>
    <w:p w14:paraId="395899AC" w14:textId="77777777" w:rsidR="003B467C" w:rsidRPr="003B467C" w:rsidRDefault="003B467C" w:rsidP="003B467C">
      <w:pPr>
        <w:ind w:left="2268"/>
        <w:jc w:val="both"/>
        <w:rPr>
          <w:i/>
          <w:iCs/>
          <w:sz w:val="20"/>
          <w:szCs w:val="20"/>
        </w:rPr>
      </w:pPr>
      <w:r w:rsidRPr="003B467C">
        <w:rPr>
          <w:i/>
          <w:iCs/>
          <w:sz w:val="20"/>
          <w:szCs w:val="20"/>
        </w:rPr>
        <w:t>(...)</w:t>
      </w:r>
    </w:p>
    <w:p w14:paraId="170C2930" w14:textId="77777777" w:rsidR="003B467C" w:rsidRPr="003B467C" w:rsidRDefault="003B467C" w:rsidP="003B467C">
      <w:pPr>
        <w:ind w:left="2268"/>
        <w:jc w:val="both"/>
        <w:rPr>
          <w:i/>
          <w:iCs/>
          <w:sz w:val="20"/>
          <w:szCs w:val="20"/>
        </w:rPr>
      </w:pPr>
    </w:p>
    <w:p w14:paraId="1126AFC2" w14:textId="5E05AA60" w:rsidR="003B467C" w:rsidRPr="003B467C" w:rsidRDefault="003B467C" w:rsidP="003B467C">
      <w:pPr>
        <w:ind w:firstLine="2268"/>
        <w:jc w:val="both"/>
        <w:rPr>
          <w:i/>
          <w:iCs/>
          <w:sz w:val="20"/>
          <w:szCs w:val="20"/>
        </w:rPr>
      </w:pPr>
      <w:r w:rsidRPr="003B467C">
        <w:rPr>
          <w:i/>
          <w:iCs/>
          <w:sz w:val="20"/>
          <w:szCs w:val="20"/>
        </w:rPr>
        <w:t>Assim sendo, a LINDB traz as formas de revogação de uma lei, quais sejam a revogação expressa ou a revogação tácita. Esta segunda modalidade se opera, ainda, em dois distintos casos, quando a lei nova seja incompatível com a revogada ou quando regule inteiramente a matéria de que tratava a lei anterior.</w:t>
      </w:r>
    </w:p>
    <w:p w14:paraId="44D7F2AF" w14:textId="1A661352" w:rsidR="003B467C" w:rsidRPr="003B467C" w:rsidRDefault="003B467C" w:rsidP="003B467C">
      <w:pPr>
        <w:ind w:firstLine="2268"/>
        <w:jc w:val="both"/>
        <w:rPr>
          <w:i/>
          <w:iCs/>
          <w:sz w:val="20"/>
          <w:szCs w:val="20"/>
        </w:rPr>
      </w:pPr>
      <w:r w:rsidRPr="003B467C">
        <w:rPr>
          <w:i/>
          <w:iCs/>
          <w:sz w:val="20"/>
          <w:szCs w:val="20"/>
        </w:rPr>
        <w:t>Em relação a Lei nº 285/1951, tem-se no Estatuto dos Servidores Municipais regulado de forma exauriente as vantagens recebidas pelos servidores, restando evidente que a revogação tácita da referida lei se operou com a entrada em vigor da Lei Complementar nº 01/1990, que estabeleceu o regime jurídico dos servidores públicos municipais, hoje previsto na Lei Complementar nº 192/2016.</w:t>
      </w:r>
    </w:p>
    <w:p w14:paraId="2B85F001" w14:textId="77777777" w:rsidR="003B467C" w:rsidRPr="003B467C" w:rsidRDefault="003B467C" w:rsidP="003B467C">
      <w:pPr>
        <w:ind w:firstLine="2268"/>
        <w:jc w:val="both"/>
        <w:rPr>
          <w:i/>
          <w:iCs/>
          <w:sz w:val="20"/>
          <w:szCs w:val="20"/>
        </w:rPr>
      </w:pPr>
      <w:r w:rsidRPr="003B467C">
        <w:rPr>
          <w:i/>
          <w:iCs/>
          <w:sz w:val="20"/>
          <w:szCs w:val="20"/>
        </w:rPr>
        <w:t>Já a respeito da Lei nº 5.406/1997, tendo em vista que a Lei Delegada nº 18/2013, ao tratar da reorganização administrativa da Controladoria Geral do Município, criou a Corregedoria Geral do Município e extinguiu expressamente a Corregedoria Administrativa, criada pela Lei nº 5.245/1997, fazendo com que a referida lei que trata especificamente do órgão extinto, bem como os demais dispositivos legais a ele correlatos, previstos nas Lei nº 5545/1998 e Lei Complementar nº 143/2011, se tornassem inócuos, e diante disso, também deve ser expressamente revogados.</w:t>
      </w:r>
    </w:p>
    <w:p w14:paraId="4C551454" w14:textId="4D8B9D79" w:rsidR="003B467C" w:rsidRDefault="003B467C" w:rsidP="003B467C">
      <w:pPr>
        <w:ind w:firstLine="2268"/>
        <w:jc w:val="both"/>
        <w:rPr>
          <w:i/>
          <w:iCs/>
          <w:sz w:val="20"/>
          <w:szCs w:val="20"/>
          <w:lang w:eastAsia="pt-BR"/>
        </w:rPr>
      </w:pPr>
      <w:r w:rsidRPr="003B467C">
        <w:rPr>
          <w:i/>
          <w:iCs/>
          <w:sz w:val="20"/>
          <w:szCs w:val="20"/>
        </w:rPr>
        <w:t>Muito embora seja incontroversa</w:t>
      </w:r>
      <w:r w:rsidRPr="003B467C">
        <w:rPr>
          <w:i/>
          <w:iCs/>
          <w:sz w:val="20"/>
          <w:szCs w:val="20"/>
          <w:lang w:eastAsia="pt-BR"/>
        </w:rPr>
        <w:t xml:space="preserve"> a interpretação no sentido de que a Lei nº 285/1951 e toda normativa referente aos servidores públicos do Município, bem como a </w:t>
      </w:r>
      <w:r w:rsidRPr="003B467C">
        <w:rPr>
          <w:i/>
          <w:iCs/>
          <w:sz w:val="20"/>
          <w:szCs w:val="20"/>
        </w:rPr>
        <w:t xml:space="preserve">Lei nº 5.406/1997 e toda legislação correlata a Corregedoria Administrativa, </w:t>
      </w:r>
      <w:r w:rsidRPr="003B467C">
        <w:rPr>
          <w:i/>
          <w:iCs/>
          <w:sz w:val="20"/>
          <w:szCs w:val="20"/>
          <w:lang w:eastAsia="pt-BR"/>
        </w:rPr>
        <w:t xml:space="preserve">estejam revogadas tacitamente pelas leis a elas supervenientes que tratam da mesma matéria, é importante que se promova a revogação expressa de tais </w:t>
      </w:r>
      <w:r w:rsidRPr="003B467C">
        <w:rPr>
          <w:i/>
          <w:iCs/>
          <w:sz w:val="20"/>
          <w:szCs w:val="20"/>
          <w:lang w:eastAsia="pt-BR"/>
        </w:rPr>
        <w:lastRenderedPageBreak/>
        <w:t>dispositivos, em atenção à boa técnica legislativa e para se preservar, da melhor forma, a segurança jurídica</w:t>
      </w:r>
      <w:r>
        <w:rPr>
          <w:i/>
          <w:iCs/>
          <w:sz w:val="20"/>
          <w:szCs w:val="20"/>
          <w:lang w:eastAsia="pt-BR"/>
        </w:rPr>
        <w:t>.</w:t>
      </w:r>
    </w:p>
    <w:p w14:paraId="00250F4A" w14:textId="3FCAC274" w:rsidR="003B467C" w:rsidRPr="003B467C" w:rsidRDefault="003B467C" w:rsidP="003B467C">
      <w:pPr>
        <w:ind w:firstLine="2268"/>
        <w:jc w:val="both"/>
        <w:rPr>
          <w:i/>
          <w:iCs/>
          <w:sz w:val="20"/>
          <w:szCs w:val="20"/>
          <w:lang w:eastAsia="pt-BR"/>
        </w:rPr>
      </w:pPr>
      <w:r>
        <w:rPr>
          <w:i/>
          <w:iCs/>
          <w:sz w:val="20"/>
          <w:szCs w:val="20"/>
          <w:lang w:eastAsia="pt-BR"/>
        </w:rPr>
        <w:t>(...)”</w:t>
      </w:r>
    </w:p>
    <w:p w14:paraId="76F9BCAB" w14:textId="77777777" w:rsidR="003B467C" w:rsidRPr="00EF604C" w:rsidRDefault="003B467C" w:rsidP="003B467C">
      <w:pPr>
        <w:suppressAutoHyphens w:val="0"/>
        <w:autoSpaceDE w:val="0"/>
        <w:autoSpaceDN w:val="0"/>
        <w:adjustRightInd w:val="0"/>
        <w:ind w:firstLine="2268"/>
        <w:jc w:val="both"/>
        <w:rPr>
          <w:lang w:eastAsia="pt-BR"/>
        </w:rPr>
      </w:pPr>
    </w:p>
    <w:p w14:paraId="5638E877" w14:textId="65C7EA60" w:rsidR="004C1670" w:rsidRDefault="004C1670" w:rsidP="003B467C">
      <w:pPr>
        <w:jc w:val="both"/>
        <w:rPr>
          <w:rFonts w:ascii="Times New Roman" w:hAnsi="Times New Roman"/>
          <w:i/>
          <w:iCs/>
        </w:rPr>
      </w:pPr>
    </w:p>
    <w:p w14:paraId="2A3BCA70" w14:textId="7B0D8BF3" w:rsidR="003B467C" w:rsidRDefault="003B467C" w:rsidP="004C1670">
      <w:pPr>
        <w:jc w:val="both"/>
        <w:rPr>
          <w:rFonts w:ascii="Verdana" w:hAnsi="Verdana" w:cs="DejaVu Sans"/>
        </w:rPr>
      </w:pPr>
      <w:r>
        <w:rPr>
          <w:rFonts w:ascii="Verdana" w:hAnsi="Verdana" w:cs="DejaVu Sans"/>
        </w:rPr>
        <w:t xml:space="preserve">                           Sobre o tema, mencione-se que a revogação de uma lei pode ocorrer de forma tácita ou expressa, conforme § 1º do art. 2º da Lei de Introdução ao Código Civil – Decreto-Lei nº 4.657/1942) abaixo transcrito:</w:t>
      </w:r>
    </w:p>
    <w:p w14:paraId="51BEEC07" w14:textId="2471A109" w:rsidR="003B467C" w:rsidRDefault="003B467C" w:rsidP="004C1670">
      <w:pPr>
        <w:jc w:val="both"/>
        <w:rPr>
          <w:rFonts w:ascii="Verdana" w:hAnsi="Verdana" w:cs="DejaVu Sans"/>
        </w:rPr>
      </w:pPr>
    </w:p>
    <w:p w14:paraId="363B9D9A" w14:textId="7EAA444F" w:rsidR="003B467C" w:rsidRPr="00C15203" w:rsidRDefault="003B467C" w:rsidP="004C1670">
      <w:pPr>
        <w:jc w:val="both"/>
        <w:rPr>
          <w:rFonts w:cs="Times"/>
          <w:i/>
          <w:iCs/>
          <w:sz w:val="20"/>
          <w:szCs w:val="20"/>
        </w:rPr>
      </w:pPr>
      <w:r w:rsidRPr="00C15203">
        <w:rPr>
          <w:rFonts w:cs="Times"/>
          <w:i/>
          <w:iCs/>
          <w:sz w:val="20"/>
          <w:szCs w:val="20"/>
        </w:rPr>
        <w:t xml:space="preserve">                           </w:t>
      </w:r>
      <w:r w:rsidR="00C15203">
        <w:rPr>
          <w:rFonts w:cs="Times"/>
          <w:i/>
          <w:iCs/>
          <w:sz w:val="20"/>
          <w:szCs w:val="20"/>
        </w:rPr>
        <w:t xml:space="preserve">                </w:t>
      </w:r>
      <w:r w:rsidRPr="00C15203">
        <w:rPr>
          <w:rFonts w:cs="Times"/>
          <w:i/>
          <w:iCs/>
          <w:sz w:val="20"/>
          <w:szCs w:val="20"/>
        </w:rPr>
        <w:t xml:space="preserve"> </w:t>
      </w:r>
      <w:r w:rsidR="00C15203" w:rsidRPr="00C15203">
        <w:rPr>
          <w:rFonts w:cs="Times"/>
          <w:i/>
          <w:iCs/>
          <w:sz w:val="20"/>
          <w:szCs w:val="20"/>
        </w:rPr>
        <w:t>“A</w:t>
      </w:r>
      <w:r w:rsidR="00D65808" w:rsidRPr="00C15203">
        <w:rPr>
          <w:rFonts w:cs="Times"/>
          <w:i/>
          <w:iCs/>
          <w:sz w:val="20"/>
          <w:szCs w:val="20"/>
        </w:rPr>
        <w:t xml:space="preserve">rt. 2º Não se destinando à vigência temporária, a lei </w:t>
      </w:r>
      <w:r w:rsidR="00C15203" w:rsidRPr="00C15203">
        <w:rPr>
          <w:rFonts w:cs="Times"/>
          <w:i/>
          <w:iCs/>
          <w:sz w:val="20"/>
          <w:szCs w:val="20"/>
        </w:rPr>
        <w:t>t</w:t>
      </w:r>
      <w:r w:rsidR="00D65808" w:rsidRPr="00C15203">
        <w:rPr>
          <w:rFonts w:cs="Times"/>
          <w:i/>
          <w:iCs/>
          <w:sz w:val="20"/>
          <w:szCs w:val="20"/>
        </w:rPr>
        <w:t>erá vigor até que outra a modifique ou revogue.</w:t>
      </w:r>
    </w:p>
    <w:p w14:paraId="12C98A03" w14:textId="4905E884" w:rsidR="00D65808" w:rsidRPr="00C15203" w:rsidRDefault="00D65808" w:rsidP="004C1670">
      <w:pPr>
        <w:jc w:val="both"/>
        <w:rPr>
          <w:rFonts w:cs="Times"/>
          <w:i/>
          <w:iCs/>
          <w:sz w:val="20"/>
          <w:szCs w:val="20"/>
        </w:rPr>
      </w:pPr>
      <w:r w:rsidRPr="00C15203">
        <w:rPr>
          <w:rFonts w:cs="Times"/>
          <w:i/>
          <w:iCs/>
          <w:sz w:val="20"/>
          <w:szCs w:val="20"/>
        </w:rPr>
        <w:t xml:space="preserve">                             </w:t>
      </w:r>
    </w:p>
    <w:p w14:paraId="29606A18" w14:textId="25E63603" w:rsidR="00C15203" w:rsidRDefault="00C15203" w:rsidP="004C1670">
      <w:pPr>
        <w:jc w:val="both"/>
        <w:rPr>
          <w:rFonts w:ascii="Verdana" w:hAnsi="Verdana" w:cs="DejaVu Sans"/>
        </w:rPr>
      </w:pPr>
      <w:r w:rsidRPr="00C15203">
        <w:rPr>
          <w:rFonts w:cs="Times"/>
          <w:i/>
          <w:iCs/>
          <w:sz w:val="20"/>
          <w:szCs w:val="20"/>
        </w:rPr>
        <w:t xml:space="preserve">                          </w:t>
      </w:r>
      <w:r>
        <w:rPr>
          <w:rFonts w:cs="Times"/>
          <w:i/>
          <w:iCs/>
          <w:sz w:val="20"/>
          <w:szCs w:val="20"/>
        </w:rPr>
        <w:t xml:space="preserve">                </w:t>
      </w:r>
      <w:r w:rsidRPr="00C15203">
        <w:rPr>
          <w:rFonts w:cs="Times"/>
          <w:i/>
          <w:iCs/>
          <w:sz w:val="20"/>
          <w:szCs w:val="20"/>
        </w:rPr>
        <w:t xml:space="preserve">  </w:t>
      </w:r>
      <w:r w:rsidR="00D65808" w:rsidRPr="00C15203">
        <w:rPr>
          <w:rFonts w:cs="Times"/>
          <w:i/>
          <w:iCs/>
          <w:sz w:val="20"/>
          <w:szCs w:val="20"/>
        </w:rPr>
        <w:t>§ 1º A lei posterior revoga a anterior qu</w:t>
      </w:r>
      <w:r w:rsidRPr="00C15203">
        <w:rPr>
          <w:rFonts w:cs="Times"/>
          <w:i/>
          <w:iCs/>
          <w:sz w:val="20"/>
          <w:szCs w:val="20"/>
        </w:rPr>
        <w:t>a</w:t>
      </w:r>
      <w:r w:rsidR="00D65808" w:rsidRPr="00C15203">
        <w:rPr>
          <w:rFonts w:cs="Times"/>
          <w:i/>
          <w:iCs/>
          <w:sz w:val="20"/>
          <w:szCs w:val="20"/>
        </w:rPr>
        <w:t>ndo expressamente o declare, quando seja com ela incompatível ou qua</w:t>
      </w:r>
      <w:r w:rsidRPr="00C15203">
        <w:rPr>
          <w:rFonts w:cs="Times"/>
          <w:i/>
          <w:iCs/>
          <w:sz w:val="20"/>
          <w:szCs w:val="20"/>
        </w:rPr>
        <w:t>n</w:t>
      </w:r>
      <w:r w:rsidR="00D65808" w:rsidRPr="00C15203">
        <w:rPr>
          <w:rFonts w:cs="Times"/>
          <w:i/>
          <w:iCs/>
          <w:sz w:val="20"/>
          <w:szCs w:val="20"/>
        </w:rPr>
        <w:t>do regule inteiramente a matéria de que tratava a lei anterior”</w:t>
      </w:r>
      <w:r w:rsidRPr="00C15203">
        <w:rPr>
          <w:rFonts w:cs="Times"/>
          <w:i/>
          <w:iCs/>
          <w:sz w:val="20"/>
          <w:szCs w:val="20"/>
        </w:rPr>
        <w:t>.</w:t>
      </w:r>
    </w:p>
    <w:p w14:paraId="6447B735" w14:textId="2E4C65B7" w:rsidR="003B467C" w:rsidRDefault="003B467C" w:rsidP="004C1670">
      <w:pPr>
        <w:jc w:val="both"/>
        <w:rPr>
          <w:rFonts w:ascii="Verdana" w:hAnsi="Verdana" w:cs="DejaVu Sans"/>
        </w:rPr>
      </w:pPr>
    </w:p>
    <w:p w14:paraId="1B789D61" w14:textId="779037E4" w:rsidR="007151A9" w:rsidRDefault="003B467C" w:rsidP="004C1670">
      <w:pPr>
        <w:jc w:val="both"/>
        <w:rPr>
          <w:rFonts w:ascii="Verdana" w:hAnsi="Verdana" w:cs="DejaVu Sans"/>
        </w:rPr>
      </w:pPr>
      <w:r>
        <w:rPr>
          <w:rFonts w:ascii="Verdana" w:hAnsi="Verdana" w:cs="DejaVu Sans"/>
        </w:rPr>
        <w:t xml:space="preserve">                          </w:t>
      </w:r>
      <w:r w:rsidR="007151A9">
        <w:rPr>
          <w:rFonts w:ascii="Verdana" w:hAnsi="Verdana" w:cs="DejaVu Sans"/>
        </w:rPr>
        <w:t xml:space="preserve"> Os casos de revogação estão bem claros na redação do dispositivo acima transcrito, quais sejam: no caso de incompatibilidade de leis e quando a lei nova regular inteiramente a matéria tratada na lei anterior. Por outro lado, a revogação expressa ocorre quando na própria lei nova há a menção dispondo que determinada lei</w:t>
      </w:r>
      <w:r w:rsidR="0028196C">
        <w:rPr>
          <w:rFonts w:ascii="Verdana" w:hAnsi="Verdana" w:cs="DejaVu Sans"/>
        </w:rPr>
        <w:t xml:space="preserve"> ou dispositivo legal</w:t>
      </w:r>
      <w:r w:rsidR="007151A9">
        <w:rPr>
          <w:rFonts w:ascii="Verdana" w:hAnsi="Verdana" w:cs="DejaVu Sans"/>
        </w:rPr>
        <w:t xml:space="preserve"> será revogad</w:t>
      </w:r>
      <w:r w:rsidR="0028196C">
        <w:rPr>
          <w:rFonts w:ascii="Verdana" w:hAnsi="Verdana" w:cs="DejaVu Sans"/>
        </w:rPr>
        <w:t>o</w:t>
      </w:r>
      <w:r w:rsidR="007151A9">
        <w:rPr>
          <w:rFonts w:ascii="Verdana" w:hAnsi="Verdana" w:cs="DejaVu Sans"/>
        </w:rPr>
        <w:t xml:space="preserve"> a partir de sua entrada em vigor.</w:t>
      </w:r>
    </w:p>
    <w:p w14:paraId="43E6E1D1" w14:textId="6E8DC548" w:rsidR="003B467C" w:rsidRDefault="0028196C" w:rsidP="004C1670">
      <w:pPr>
        <w:jc w:val="both"/>
        <w:rPr>
          <w:rFonts w:ascii="Verdana" w:hAnsi="Verdana" w:cs="DejaVu Sans"/>
        </w:rPr>
      </w:pPr>
      <w:r>
        <w:rPr>
          <w:rFonts w:ascii="Verdana" w:hAnsi="Verdana" w:cs="DejaVu Sans"/>
        </w:rPr>
        <w:t xml:space="preserve">                           </w:t>
      </w:r>
      <w:r w:rsidR="007151A9">
        <w:rPr>
          <w:rFonts w:ascii="Verdana" w:hAnsi="Verdana" w:cs="DejaVu Sans"/>
        </w:rPr>
        <w:t xml:space="preserve">Portanto, para que uma </w:t>
      </w:r>
      <w:r>
        <w:rPr>
          <w:rFonts w:ascii="Verdana" w:hAnsi="Verdana" w:cs="DejaVu Sans"/>
        </w:rPr>
        <w:t>l</w:t>
      </w:r>
      <w:r w:rsidR="007151A9">
        <w:rPr>
          <w:rFonts w:ascii="Verdana" w:hAnsi="Verdana" w:cs="DejaVu Sans"/>
        </w:rPr>
        <w:t xml:space="preserve">ei seja revogada, basta que uma nova lei </w:t>
      </w:r>
      <w:r>
        <w:rPr>
          <w:rFonts w:ascii="Verdana" w:hAnsi="Verdana" w:cs="DejaVu Sans"/>
        </w:rPr>
        <w:t>regule a matéria</w:t>
      </w:r>
      <w:r w:rsidR="007151A9">
        <w:rPr>
          <w:rFonts w:ascii="Verdana" w:hAnsi="Verdana" w:cs="DejaVu Sans"/>
        </w:rPr>
        <w:t xml:space="preserve"> parcialmente ou por inteiro, ou seja com </w:t>
      </w:r>
      <w:r w:rsidR="004D4D9C">
        <w:rPr>
          <w:rFonts w:ascii="Verdana" w:hAnsi="Verdana" w:cs="DejaVu Sans"/>
        </w:rPr>
        <w:t>ela</w:t>
      </w:r>
      <w:r w:rsidR="007151A9">
        <w:rPr>
          <w:rFonts w:ascii="Verdana" w:hAnsi="Verdana" w:cs="DejaVu Sans"/>
        </w:rPr>
        <w:t xml:space="preserve"> incompatível, ou </w:t>
      </w:r>
      <w:r>
        <w:rPr>
          <w:rFonts w:ascii="Verdana" w:hAnsi="Verdana" w:cs="DejaVu Sans"/>
        </w:rPr>
        <w:t>a</w:t>
      </w:r>
      <w:r w:rsidR="007151A9">
        <w:rPr>
          <w:rFonts w:ascii="Verdana" w:hAnsi="Verdana" w:cs="DejaVu Sans"/>
        </w:rPr>
        <w:t>inda que a lei nova</w:t>
      </w:r>
      <w:r>
        <w:rPr>
          <w:rFonts w:ascii="Verdana" w:hAnsi="Verdana" w:cs="DejaVu Sans"/>
        </w:rPr>
        <w:t>,</w:t>
      </w:r>
      <w:r w:rsidR="007151A9">
        <w:rPr>
          <w:rFonts w:ascii="Verdana" w:hAnsi="Verdana" w:cs="DejaVu Sans"/>
        </w:rPr>
        <w:t xml:space="preserve"> de forma expressa</w:t>
      </w:r>
      <w:r>
        <w:rPr>
          <w:rFonts w:ascii="Verdana" w:hAnsi="Verdana" w:cs="DejaVu Sans"/>
        </w:rPr>
        <w:t>,</w:t>
      </w:r>
      <w:r w:rsidR="007151A9">
        <w:rPr>
          <w:rFonts w:ascii="Verdana" w:hAnsi="Verdana" w:cs="DejaVu Sans"/>
        </w:rPr>
        <w:t xml:space="preserve"> preveja a sua revogação.</w:t>
      </w:r>
      <w:r w:rsidR="003B467C">
        <w:rPr>
          <w:rFonts w:ascii="Verdana" w:hAnsi="Verdana" w:cs="DejaVu Sans"/>
        </w:rPr>
        <w:t xml:space="preserve"> </w:t>
      </w:r>
    </w:p>
    <w:p w14:paraId="10649804" w14:textId="2F2859DA" w:rsidR="007151A9" w:rsidRDefault="007151A9" w:rsidP="004C1670">
      <w:pPr>
        <w:jc w:val="both"/>
        <w:rPr>
          <w:rFonts w:ascii="Verdana" w:hAnsi="Verdana"/>
        </w:rPr>
      </w:pPr>
      <w:r>
        <w:rPr>
          <w:rFonts w:ascii="Verdana" w:hAnsi="Verdana" w:cs="DejaVu Sans"/>
        </w:rPr>
        <w:t xml:space="preserve">                           No presente caso, </w:t>
      </w:r>
      <w:r w:rsidR="00E77571">
        <w:rPr>
          <w:rFonts w:ascii="Verdana" w:hAnsi="Verdana" w:cs="DejaVu Sans"/>
        </w:rPr>
        <w:t xml:space="preserve">primeiramente, </w:t>
      </w:r>
      <w:r>
        <w:rPr>
          <w:rFonts w:ascii="Verdana" w:hAnsi="Verdana" w:cs="DejaVu Sans"/>
        </w:rPr>
        <w:t>propõe-se a revogação da Lei nº 285</w:t>
      </w:r>
      <w:r w:rsidR="0097571C">
        <w:rPr>
          <w:rFonts w:ascii="Verdana" w:hAnsi="Verdana" w:cs="DejaVu Sans"/>
        </w:rPr>
        <w:t>/51 que</w:t>
      </w:r>
      <w:r w:rsidR="0028196C">
        <w:rPr>
          <w:rFonts w:ascii="Verdana" w:hAnsi="Verdana" w:cs="DejaVu Sans"/>
        </w:rPr>
        <w:t xml:space="preserve"> reajustou</w:t>
      </w:r>
      <w:r w:rsidR="0097571C">
        <w:rPr>
          <w:rFonts w:ascii="Verdana" w:hAnsi="Verdana" w:cs="DejaVu Sans"/>
        </w:rPr>
        <w:t xml:space="preserve"> os vencimentos de alguns cargos no âmbito do Poder Executivo Municipal, </w:t>
      </w:r>
      <w:r w:rsidR="0028196C">
        <w:rPr>
          <w:rFonts w:ascii="Verdana" w:hAnsi="Verdana" w:cs="DejaVu Sans"/>
        </w:rPr>
        <w:t xml:space="preserve">e </w:t>
      </w:r>
      <w:r w:rsidR="0097571C">
        <w:rPr>
          <w:rFonts w:ascii="Verdana" w:hAnsi="Verdana" w:cs="DejaVu Sans"/>
        </w:rPr>
        <w:t xml:space="preserve">ainda instituiu o abono </w:t>
      </w:r>
      <w:proofErr w:type="spellStart"/>
      <w:r w:rsidR="0097571C">
        <w:rPr>
          <w:rFonts w:ascii="Verdana" w:hAnsi="Verdana" w:cs="DejaVu Sans"/>
        </w:rPr>
        <w:t>vintenário</w:t>
      </w:r>
      <w:proofErr w:type="spellEnd"/>
      <w:r w:rsidR="0097571C">
        <w:rPr>
          <w:rFonts w:ascii="Verdana" w:hAnsi="Verdana" w:cs="DejaVu Sans"/>
        </w:rPr>
        <w:t xml:space="preserve"> aos servidores que t</w:t>
      </w:r>
      <w:r w:rsidR="00E77571">
        <w:rPr>
          <w:rFonts w:ascii="Verdana" w:hAnsi="Verdana" w:cs="DejaVu Sans"/>
        </w:rPr>
        <w:t>i</w:t>
      </w:r>
      <w:r w:rsidR="0097571C">
        <w:rPr>
          <w:rFonts w:ascii="Verdana" w:hAnsi="Verdana" w:cs="DejaVu Sans"/>
        </w:rPr>
        <w:t xml:space="preserve">nham mais de 20 anos ininterruptos de serviço público municipal. </w:t>
      </w:r>
      <w:r w:rsidR="00E77571">
        <w:rPr>
          <w:rFonts w:ascii="Verdana" w:hAnsi="Verdana" w:cs="DejaVu Sans"/>
        </w:rPr>
        <w:t>Os reajustes em questão</w:t>
      </w:r>
      <w:r w:rsidR="0097571C">
        <w:rPr>
          <w:rFonts w:ascii="Verdana" w:hAnsi="Verdana" w:cs="DejaVu Sans"/>
        </w:rPr>
        <w:t xml:space="preserve"> acha</w:t>
      </w:r>
      <w:r w:rsidR="003D6F4C">
        <w:rPr>
          <w:rFonts w:ascii="Verdana" w:hAnsi="Verdana" w:cs="DejaVu Sans"/>
        </w:rPr>
        <w:t>m</w:t>
      </w:r>
      <w:r w:rsidR="0097571C">
        <w:rPr>
          <w:rFonts w:ascii="Verdana" w:hAnsi="Verdana" w:cs="DejaVu Sans"/>
        </w:rPr>
        <w:t>-s</w:t>
      </w:r>
      <w:r w:rsidR="0028196C">
        <w:rPr>
          <w:rFonts w:ascii="Verdana" w:hAnsi="Verdana" w:cs="DejaVu Sans"/>
        </w:rPr>
        <w:t>e</w:t>
      </w:r>
      <w:r w:rsidR="0097571C">
        <w:rPr>
          <w:rFonts w:ascii="Verdana" w:hAnsi="Verdana" w:cs="DejaVu Sans"/>
        </w:rPr>
        <w:t xml:space="preserve"> revogad</w:t>
      </w:r>
      <w:r w:rsidR="00E77571">
        <w:rPr>
          <w:rFonts w:ascii="Verdana" w:hAnsi="Verdana" w:cs="DejaVu Sans"/>
        </w:rPr>
        <w:t>o</w:t>
      </w:r>
      <w:r w:rsidR="0097571C">
        <w:rPr>
          <w:rFonts w:ascii="Verdana" w:hAnsi="Verdana" w:cs="DejaVu Sans"/>
        </w:rPr>
        <w:t>s tacitamente</w:t>
      </w:r>
      <w:r w:rsidR="00E77571">
        <w:rPr>
          <w:rFonts w:ascii="Verdana" w:hAnsi="Verdana" w:cs="DejaVu Sans"/>
        </w:rPr>
        <w:t xml:space="preserve"> por serem </w:t>
      </w:r>
      <w:r w:rsidR="003D6F4C">
        <w:rPr>
          <w:rFonts w:ascii="Verdana" w:hAnsi="Verdana" w:cs="DejaVu Sans"/>
        </w:rPr>
        <w:t>inteiramente tratados</w:t>
      </w:r>
      <w:r w:rsidR="00E77571">
        <w:rPr>
          <w:rFonts w:ascii="Verdana" w:hAnsi="Verdana" w:cs="DejaVu Sans"/>
        </w:rPr>
        <w:t xml:space="preserve"> </w:t>
      </w:r>
      <w:r w:rsidR="003D6F4C">
        <w:rPr>
          <w:rFonts w:ascii="Verdana" w:hAnsi="Verdana" w:cs="DejaVu Sans"/>
        </w:rPr>
        <w:t>pelos</w:t>
      </w:r>
      <w:r w:rsidR="0097571C">
        <w:rPr>
          <w:rFonts w:ascii="Verdana" w:hAnsi="Verdana" w:cs="DejaVu Sans"/>
        </w:rPr>
        <w:t xml:space="preserve"> diversos planos de cargos e salários aprovados no decorrer do tempo</w:t>
      </w:r>
      <w:r w:rsidR="00E77571">
        <w:rPr>
          <w:rFonts w:ascii="Verdana" w:hAnsi="Verdana" w:cs="DejaVu Sans"/>
        </w:rPr>
        <w:t>.</w:t>
      </w:r>
      <w:r w:rsidR="0097571C">
        <w:rPr>
          <w:rFonts w:ascii="Verdana" w:hAnsi="Verdana" w:cs="DejaVu Sans"/>
        </w:rPr>
        <w:t xml:space="preserve"> </w:t>
      </w:r>
      <w:r w:rsidR="00E77571">
        <w:rPr>
          <w:rFonts w:ascii="Verdana" w:hAnsi="Verdana" w:cs="DejaVu Sans"/>
        </w:rPr>
        <w:t xml:space="preserve">No tocante ao </w:t>
      </w:r>
      <w:proofErr w:type="spellStart"/>
      <w:r w:rsidR="00E77571">
        <w:rPr>
          <w:rFonts w:ascii="Verdana" w:hAnsi="Verdana" w:cs="DejaVu Sans"/>
        </w:rPr>
        <w:t>vintenário</w:t>
      </w:r>
      <w:proofErr w:type="spellEnd"/>
      <w:r w:rsidR="00E77571">
        <w:rPr>
          <w:rFonts w:ascii="Verdana" w:hAnsi="Verdana" w:cs="DejaVu Sans"/>
        </w:rPr>
        <w:t xml:space="preserve">, </w:t>
      </w:r>
      <w:r w:rsidR="0097571C">
        <w:rPr>
          <w:rFonts w:ascii="Verdana" w:hAnsi="Verdana" w:cs="DejaVu Sans"/>
        </w:rPr>
        <w:t>as Leis Complementares nº 01</w:t>
      </w:r>
      <w:r w:rsidR="00BB6B2A">
        <w:rPr>
          <w:rFonts w:ascii="Verdana" w:hAnsi="Verdana" w:cs="DejaVu Sans"/>
        </w:rPr>
        <w:t>/90</w:t>
      </w:r>
      <w:r w:rsidR="0097571C">
        <w:rPr>
          <w:rFonts w:ascii="Verdana" w:hAnsi="Verdana" w:cs="DejaVu Sans"/>
        </w:rPr>
        <w:t>, 79</w:t>
      </w:r>
      <w:r w:rsidR="00BB6B2A">
        <w:rPr>
          <w:rFonts w:ascii="Verdana" w:hAnsi="Verdana" w:cs="DejaVu Sans"/>
        </w:rPr>
        <w:t>/03</w:t>
      </w:r>
      <w:r w:rsidR="0097571C">
        <w:rPr>
          <w:rFonts w:ascii="Verdana" w:hAnsi="Verdana" w:cs="DejaVu Sans"/>
        </w:rPr>
        <w:t xml:space="preserve"> e 192/16 que</w:t>
      </w:r>
      <w:r w:rsidR="00BB6B2A">
        <w:rPr>
          <w:rFonts w:ascii="Verdana" w:hAnsi="Verdana"/>
        </w:rPr>
        <w:t xml:space="preserve"> estabeleceram novos Estatutos dos Servidores Públicos do Município de Sete Lagoas, revogando os anteriores, tr</w:t>
      </w:r>
      <w:r w:rsidR="00C43293">
        <w:rPr>
          <w:rFonts w:ascii="Verdana" w:hAnsi="Verdana"/>
        </w:rPr>
        <w:t>ouxeram</w:t>
      </w:r>
      <w:r w:rsidR="00BB6B2A">
        <w:rPr>
          <w:rFonts w:ascii="Verdana" w:hAnsi="Verdana"/>
        </w:rPr>
        <w:t xml:space="preserve"> em seu bojo apenas os adicionais temporais do Triênio e o Trintenário, sendo silentes quanto ao </w:t>
      </w:r>
      <w:proofErr w:type="spellStart"/>
      <w:r w:rsidR="00BB6B2A">
        <w:rPr>
          <w:rFonts w:ascii="Verdana" w:hAnsi="Verdana"/>
        </w:rPr>
        <w:t>Vintenário</w:t>
      </w:r>
      <w:proofErr w:type="spellEnd"/>
      <w:r w:rsidR="003D6F4C">
        <w:rPr>
          <w:rFonts w:ascii="Verdana" w:hAnsi="Verdana"/>
        </w:rPr>
        <w:t xml:space="preserve"> (incompatibilidade).</w:t>
      </w:r>
    </w:p>
    <w:p w14:paraId="6987D7B0" w14:textId="7BF1B08C" w:rsidR="004D4D9C" w:rsidRDefault="00E77571" w:rsidP="004C1670">
      <w:pPr>
        <w:jc w:val="both"/>
        <w:rPr>
          <w:rFonts w:ascii="Verdana" w:hAnsi="Verdana" w:cs="DejaVu Sans"/>
        </w:rPr>
      </w:pPr>
      <w:r>
        <w:rPr>
          <w:rFonts w:ascii="Verdana" w:hAnsi="Verdana"/>
        </w:rPr>
        <w:t xml:space="preserve">                           </w:t>
      </w:r>
      <w:r w:rsidR="004D4D9C">
        <w:rPr>
          <w:rFonts w:ascii="Verdana" w:hAnsi="Verdana"/>
        </w:rPr>
        <w:t>No que se refere à Corregedoria Municipal</w:t>
      </w:r>
      <w:r w:rsidR="003A0449">
        <w:rPr>
          <w:rFonts w:ascii="Verdana" w:hAnsi="Verdana"/>
        </w:rPr>
        <w:t xml:space="preserve">, </w:t>
      </w:r>
      <w:r>
        <w:rPr>
          <w:rFonts w:ascii="Verdana" w:hAnsi="Verdana"/>
        </w:rPr>
        <w:t>tal órgão</w:t>
      </w:r>
      <w:r w:rsidR="003A0449">
        <w:rPr>
          <w:rFonts w:ascii="Verdana" w:hAnsi="Verdana"/>
        </w:rPr>
        <w:t xml:space="preserve"> atualmente é inteiramente regulad</w:t>
      </w:r>
      <w:r>
        <w:rPr>
          <w:rFonts w:ascii="Verdana" w:hAnsi="Verdana"/>
        </w:rPr>
        <w:t>o</w:t>
      </w:r>
      <w:r w:rsidR="003A0449">
        <w:rPr>
          <w:rFonts w:ascii="Verdana" w:hAnsi="Verdana"/>
        </w:rPr>
        <w:t xml:space="preserve"> pela Lei nº 9.738</w:t>
      </w:r>
      <w:r w:rsidR="003F3074">
        <w:rPr>
          <w:rFonts w:ascii="Verdana" w:hAnsi="Verdana"/>
        </w:rPr>
        <w:t xml:space="preserve">/2023 que revogou expressamente a Lei Delegada nº 18/2013 que dispunha sobre o órgão em questão. </w:t>
      </w:r>
      <w:r w:rsidR="003D6F4C">
        <w:rPr>
          <w:rFonts w:ascii="Verdana" w:hAnsi="Verdana"/>
        </w:rPr>
        <w:t>Da mesma forma, a Lei</w:t>
      </w:r>
      <w:r>
        <w:rPr>
          <w:rFonts w:ascii="Verdana" w:hAnsi="Verdana"/>
        </w:rPr>
        <w:t xml:space="preserve"> nº 5.406/1997</w:t>
      </w:r>
      <w:r w:rsidR="003F3074">
        <w:rPr>
          <w:rFonts w:ascii="Verdana" w:hAnsi="Verdana"/>
        </w:rPr>
        <w:t xml:space="preserve"> e</w:t>
      </w:r>
      <w:r>
        <w:rPr>
          <w:rFonts w:ascii="Verdana" w:hAnsi="Verdana"/>
        </w:rPr>
        <w:t xml:space="preserve"> os</w:t>
      </w:r>
      <w:r w:rsidR="003F3074">
        <w:rPr>
          <w:rFonts w:ascii="Verdana" w:hAnsi="Verdana"/>
        </w:rPr>
        <w:t xml:space="preserve"> dispositivos mencionados nos incisos III e IV do projeto foram revogados tacitamente</w:t>
      </w:r>
      <w:r w:rsidR="003D6F4C">
        <w:rPr>
          <w:rFonts w:ascii="Verdana" w:hAnsi="Verdana"/>
        </w:rPr>
        <w:t>,</w:t>
      </w:r>
      <w:r>
        <w:rPr>
          <w:rFonts w:ascii="Verdana" w:hAnsi="Verdana"/>
        </w:rPr>
        <w:t xml:space="preserve"> por </w:t>
      </w:r>
      <w:r w:rsidR="003D6F4C">
        <w:rPr>
          <w:rFonts w:ascii="Verdana" w:hAnsi="Verdana"/>
        </w:rPr>
        <w:t>terem novas tratativas</w:t>
      </w:r>
      <w:r>
        <w:rPr>
          <w:rFonts w:ascii="Verdana" w:hAnsi="Verdana"/>
        </w:rPr>
        <w:t xml:space="preserve"> </w:t>
      </w:r>
      <w:r w:rsidR="003D6F4C">
        <w:rPr>
          <w:rFonts w:ascii="Verdana" w:hAnsi="Verdana"/>
        </w:rPr>
        <w:t>na</w:t>
      </w:r>
      <w:r w:rsidR="000B437F">
        <w:rPr>
          <w:rFonts w:ascii="Verdana" w:hAnsi="Verdana"/>
        </w:rPr>
        <w:t xml:space="preserve"> lei delegada (revogada) e na</w:t>
      </w:r>
      <w:r w:rsidR="003D6F4C">
        <w:rPr>
          <w:rFonts w:ascii="Verdana" w:hAnsi="Verdana"/>
        </w:rPr>
        <w:t xml:space="preserve"> </w:t>
      </w:r>
      <w:r w:rsidR="00C43293">
        <w:rPr>
          <w:rFonts w:ascii="Verdana" w:hAnsi="Verdana"/>
        </w:rPr>
        <w:t>atual Lei nº 9.738/2023</w:t>
      </w:r>
      <w:r w:rsidR="00EA38A2">
        <w:rPr>
          <w:rFonts w:ascii="Verdana" w:hAnsi="Verdana"/>
        </w:rPr>
        <w:t xml:space="preserve"> em vigor</w:t>
      </w:r>
      <w:r w:rsidR="00C43293">
        <w:rPr>
          <w:rFonts w:ascii="Verdana" w:hAnsi="Verdana"/>
        </w:rPr>
        <w:t xml:space="preserve"> (</w:t>
      </w:r>
      <w:r w:rsidR="000B437F">
        <w:rPr>
          <w:rFonts w:ascii="Verdana" w:hAnsi="Verdana"/>
        </w:rPr>
        <w:t>r</w:t>
      </w:r>
      <w:r w:rsidR="00C43293">
        <w:rPr>
          <w:rFonts w:ascii="Verdana" w:hAnsi="Verdana"/>
        </w:rPr>
        <w:t xml:space="preserve">eforma </w:t>
      </w:r>
      <w:r w:rsidR="000B437F">
        <w:rPr>
          <w:rFonts w:ascii="Verdana" w:hAnsi="Verdana"/>
        </w:rPr>
        <w:t>a</w:t>
      </w:r>
      <w:r w:rsidR="00C43293">
        <w:rPr>
          <w:rFonts w:ascii="Verdana" w:hAnsi="Verdana"/>
        </w:rPr>
        <w:t>dministrativa).</w:t>
      </w:r>
    </w:p>
    <w:p w14:paraId="2A5048DB" w14:textId="77777777" w:rsidR="00C43293" w:rsidRDefault="003A0449" w:rsidP="00C43293">
      <w:pPr>
        <w:tabs>
          <w:tab w:val="left" w:pos="2292"/>
          <w:tab w:val="left" w:pos="7332"/>
        </w:tabs>
        <w:jc w:val="both"/>
        <w:rPr>
          <w:rFonts w:ascii="Verdana" w:hAnsi="Verdana" w:cs="DejaVu Sans"/>
        </w:rPr>
      </w:pPr>
      <w:r>
        <w:rPr>
          <w:rFonts w:ascii="Verdana" w:hAnsi="Verdana" w:cs="DejaVu Sans"/>
        </w:rPr>
        <w:lastRenderedPageBreak/>
        <w:tab/>
      </w:r>
      <w:r w:rsidR="00C43293">
        <w:rPr>
          <w:rFonts w:ascii="Verdana" w:hAnsi="Verdana" w:cs="DejaVu Sans"/>
        </w:rPr>
        <w:t>Outrossim, a Lei Complementar Federal nº 95/1998, que “dispõe sobre a elaboração, a redação, a alteração e a consolidação de leis, conforme determina o parágrafo único do art. 59 da Constituição Federal, e estabelece normas para a consolidação dos atos normativos que menciona”, estabelece no art. 9º o seguinte:</w:t>
      </w:r>
    </w:p>
    <w:p w14:paraId="73FD2310" w14:textId="77777777" w:rsidR="00C43293" w:rsidRDefault="00C43293" w:rsidP="00C43293">
      <w:pPr>
        <w:tabs>
          <w:tab w:val="left" w:pos="2292"/>
          <w:tab w:val="left" w:pos="7332"/>
        </w:tabs>
        <w:jc w:val="both"/>
        <w:rPr>
          <w:rFonts w:ascii="Verdana" w:hAnsi="Verdana" w:cs="DejaVu Sans"/>
        </w:rPr>
      </w:pPr>
    </w:p>
    <w:p w14:paraId="5A360C8E" w14:textId="754F7FE7" w:rsidR="003B467C" w:rsidRPr="00C43293" w:rsidRDefault="00C43293" w:rsidP="00C43293">
      <w:pPr>
        <w:tabs>
          <w:tab w:val="left" w:pos="2292"/>
          <w:tab w:val="left" w:pos="7332"/>
        </w:tabs>
        <w:jc w:val="both"/>
        <w:rPr>
          <w:rFonts w:ascii="Times New Roman" w:hAnsi="Times New Roman"/>
          <w:i/>
          <w:iCs/>
          <w:sz w:val="20"/>
          <w:szCs w:val="20"/>
        </w:rPr>
      </w:pPr>
      <w:r>
        <w:rPr>
          <w:rFonts w:ascii="Times New Roman" w:hAnsi="Times New Roman"/>
          <w:i/>
          <w:iCs/>
          <w:sz w:val="20"/>
          <w:szCs w:val="20"/>
        </w:rPr>
        <w:t xml:space="preserve">                                             </w:t>
      </w:r>
      <w:r w:rsidRPr="00C43293">
        <w:rPr>
          <w:rFonts w:ascii="Times New Roman" w:hAnsi="Times New Roman"/>
          <w:i/>
          <w:iCs/>
          <w:sz w:val="20"/>
          <w:szCs w:val="20"/>
        </w:rPr>
        <w:t>“Art. 9º A cláusula de revogação deverá enumerar, expressamente, as leis ou disposições legais revogadas.”</w:t>
      </w:r>
      <w:r w:rsidRPr="00C43293">
        <w:rPr>
          <w:rFonts w:ascii="Times New Roman" w:hAnsi="Times New Roman"/>
          <w:i/>
          <w:iCs/>
          <w:sz w:val="20"/>
          <w:szCs w:val="20"/>
        </w:rPr>
        <w:tab/>
      </w:r>
      <w:r w:rsidR="003A0449" w:rsidRPr="00C43293">
        <w:rPr>
          <w:rFonts w:ascii="Times New Roman" w:hAnsi="Times New Roman"/>
          <w:i/>
          <w:iCs/>
          <w:sz w:val="20"/>
          <w:szCs w:val="20"/>
        </w:rPr>
        <w:t xml:space="preserve"> </w:t>
      </w:r>
    </w:p>
    <w:p w14:paraId="39079580" w14:textId="77777777" w:rsidR="003B467C" w:rsidRDefault="003B467C" w:rsidP="004C1670">
      <w:pPr>
        <w:jc w:val="both"/>
        <w:rPr>
          <w:rFonts w:ascii="Verdana" w:hAnsi="Verdana" w:cs="DejaVu Sans"/>
        </w:rPr>
      </w:pPr>
    </w:p>
    <w:p w14:paraId="4074B0B4" w14:textId="2A497682" w:rsidR="003B467C" w:rsidRDefault="00D9719A" w:rsidP="004C1670">
      <w:pPr>
        <w:jc w:val="both"/>
        <w:rPr>
          <w:rFonts w:ascii="Verdana" w:hAnsi="Verdana" w:cs="DejaVu Sans"/>
        </w:rPr>
      </w:pPr>
      <w:r>
        <w:rPr>
          <w:rFonts w:ascii="Verdana" w:hAnsi="Verdana" w:cs="DejaVu Sans"/>
        </w:rPr>
        <w:t xml:space="preserve">                           Como visto, não obstante haver a possibilidade de revogação tácita no ordenamento jurídico pátrio, a lei que trata sobre técnica legislativa indica que a cláusula de revogação deve enumerar, de forma expressa, as leis ou dispositivos que serão revogados. Isto traz segurança na aplicabilidade das leis.</w:t>
      </w:r>
    </w:p>
    <w:p w14:paraId="0A06E02E" w14:textId="607E151F" w:rsidR="00D9719A" w:rsidRDefault="00D9719A" w:rsidP="004C1670">
      <w:pPr>
        <w:jc w:val="both"/>
        <w:rPr>
          <w:rFonts w:ascii="Verdana" w:hAnsi="Verdana" w:cs="DejaVu Sans"/>
        </w:rPr>
      </w:pPr>
      <w:r>
        <w:rPr>
          <w:rFonts w:ascii="Verdana" w:hAnsi="Verdana" w:cs="DejaVu Sans"/>
        </w:rPr>
        <w:t xml:space="preserve">                            Logo, o projeto de lei sob apreço está em conformidade com o preconiza a referida lei complementar</w:t>
      </w:r>
      <w:r w:rsidR="000B437F">
        <w:rPr>
          <w:rFonts w:ascii="Verdana" w:hAnsi="Verdana" w:cs="DejaVu Sans"/>
        </w:rPr>
        <w:t xml:space="preserve"> federal</w:t>
      </w:r>
    </w:p>
    <w:p w14:paraId="538BD8C6" w14:textId="5E1C4B62" w:rsidR="00D9719A" w:rsidRDefault="00D9719A" w:rsidP="004C1670">
      <w:pPr>
        <w:jc w:val="both"/>
        <w:rPr>
          <w:rFonts w:ascii="Verdana" w:hAnsi="Verdana" w:cs="DejaVu Sans"/>
        </w:rPr>
      </w:pPr>
      <w:r>
        <w:rPr>
          <w:rFonts w:ascii="Verdana" w:hAnsi="Verdana" w:cs="DejaVu Sans"/>
        </w:rPr>
        <w:t xml:space="preserve">                            Face ao exposto, entendo pela legalidade, juridicidade e constitucionalidade do Projeto de Lei nº 356/2023, que “</w:t>
      </w:r>
      <w:r>
        <w:rPr>
          <w:rFonts w:ascii="Verdana" w:hAnsi="Verdana"/>
        </w:rPr>
        <w:t>Revoga as Leis nº 285, de 30 de novembro de 1951, e nº 5.406, de 22 de agosto de 1997 e alterações posteriores”.</w:t>
      </w:r>
      <w:r>
        <w:rPr>
          <w:rFonts w:ascii="Verdana" w:hAnsi="Verdana" w:cs="DejaVu Sans"/>
        </w:rPr>
        <w:t xml:space="preserve"> </w:t>
      </w:r>
    </w:p>
    <w:p w14:paraId="19E5B540" w14:textId="77777777" w:rsidR="00C43293" w:rsidRDefault="00C43293" w:rsidP="004C1670">
      <w:pPr>
        <w:ind w:firstLine="2268"/>
        <w:jc w:val="both"/>
        <w:rPr>
          <w:rFonts w:ascii="Verdana" w:hAnsi="Verdana" w:cs="Calibri"/>
          <w:color w:val="333333"/>
          <w:shd w:val="clear" w:color="auto" w:fill="FFFFFF"/>
        </w:rPr>
      </w:pPr>
    </w:p>
    <w:p w14:paraId="577C688B" w14:textId="05EAC073" w:rsidR="004C1670" w:rsidRDefault="004C1670" w:rsidP="004C1670">
      <w:pPr>
        <w:ind w:firstLine="2268"/>
        <w:jc w:val="both"/>
        <w:rPr>
          <w:rFonts w:ascii="Verdana" w:hAnsi="Verdana" w:cs="Calibri"/>
          <w:color w:val="333333"/>
          <w:shd w:val="clear" w:color="auto" w:fill="FFFFFF"/>
        </w:rPr>
      </w:pPr>
      <w:r>
        <w:rPr>
          <w:rFonts w:ascii="Verdana" w:hAnsi="Verdana" w:cs="Calibri"/>
          <w:color w:val="333333"/>
          <w:shd w:val="clear" w:color="auto" w:fill="FFFFFF"/>
        </w:rPr>
        <w:t>É o parecer, s.m.j.</w:t>
      </w:r>
    </w:p>
    <w:p w14:paraId="5AC37163" w14:textId="77777777" w:rsidR="004C1670" w:rsidRDefault="004C1670" w:rsidP="004C1670">
      <w:pPr>
        <w:ind w:firstLine="2268"/>
        <w:jc w:val="both"/>
        <w:rPr>
          <w:rFonts w:ascii="Verdana" w:hAnsi="Verdana" w:cs="Calibri"/>
          <w:color w:val="333333"/>
          <w:shd w:val="clear" w:color="auto" w:fill="FFFFFF"/>
        </w:rPr>
      </w:pPr>
    </w:p>
    <w:p w14:paraId="44E11796" w14:textId="77777777" w:rsidR="00D9719A" w:rsidRDefault="00D9719A" w:rsidP="004C1670">
      <w:pPr>
        <w:ind w:firstLine="2268"/>
        <w:jc w:val="both"/>
        <w:rPr>
          <w:rFonts w:ascii="Verdana" w:hAnsi="Verdana" w:cs="Calibri"/>
          <w:color w:val="333333"/>
          <w:shd w:val="clear" w:color="auto" w:fill="FFFFFF"/>
        </w:rPr>
      </w:pPr>
    </w:p>
    <w:p w14:paraId="16E1DB74" w14:textId="088A8370" w:rsidR="004C1670" w:rsidRDefault="004C1670" w:rsidP="004C1670">
      <w:pPr>
        <w:ind w:firstLine="2268"/>
        <w:jc w:val="both"/>
        <w:rPr>
          <w:rFonts w:ascii="Verdana" w:hAnsi="Verdana" w:cs="Calibri"/>
          <w:color w:val="333333"/>
          <w:shd w:val="clear" w:color="auto" w:fill="FFFFFF"/>
        </w:rPr>
      </w:pPr>
      <w:r>
        <w:rPr>
          <w:rFonts w:ascii="Verdana" w:hAnsi="Verdana" w:cs="Calibri"/>
          <w:color w:val="333333"/>
          <w:shd w:val="clear" w:color="auto" w:fill="FFFFFF"/>
        </w:rPr>
        <w:t>Fernando Geraldo Faria Roque</w:t>
      </w:r>
    </w:p>
    <w:p w14:paraId="71ACA79C" w14:textId="0A529C4E" w:rsidR="004C1670" w:rsidRDefault="004C1670" w:rsidP="004C1670">
      <w:pPr>
        <w:ind w:firstLine="2268"/>
        <w:jc w:val="both"/>
        <w:rPr>
          <w:rFonts w:ascii="Verdana" w:hAnsi="Verdana" w:cs="Calibri"/>
          <w:color w:val="333333"/>
          <w:shd w:val="clear" w:color="auto" w:fill="FFFFFF"/>
        </w:rPr>
      </w:pPr>
      <w:r>
        <w:rPr>
          <w:rFonts w:ascii="Verdana" w:hAnsi="Verdana" w:cs="Calibri"/>
          <w:color w:val="333333"/>
          <w:shd w:val="clear" w:color="auto" w:fill="FFFFFF"/>
        </w:rPr>
        <w:t xml:space="preserve">Procurador do Legislativo </w:t>
      </w:r>
    </w:p>
    <w:p w14:paraId="4BA3B4C8" w14:textId="77777777" w:rsidR="00234942" w:rsidRPr="00000786" w:rsidRDefault="00234942" w:rsidP="00000786"/>
    <w:sectPr w:rsidR="00234942" w:rsidRPr="0000078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CC47" w14:textId="77777777" w:rsidR="0016625D" w:rsidRDefault="0016625D" w:rsidP="003C34B0">
      <w:r>
        <w:separator/>
      </w:r>
    </w:p>
  </w:endnote>
  <w:endnote w:type="continuationSeparator" w:id="0">
    <w:p w14:paraId="145A142E" w14:textId="77777777" w:rsidR="0016625D" w:rsidRDefault="0016625D"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675E" w14:textId="77777777" w:rsidR="003C34B0" w:rsidRDefault="003C34B0">
    <w:pPr>
      <w:pStyle w:val="Rodap"/>
    </w:pPr>
  </w:p>
  <w:p w14:paraId="5B484568" w14:textId="77777777" w:rsidR="003C34B0" w:rsidRDefault="003C34B0">
    <w:pPr>
      <w:pStyle w:val="Rodap"/>
    </w:pPr>
  </w:p>
  <w:p w14:paraId="7E9B92D3" w14:textId="77777777" w:rsidR="003C34B0" w:rsidRDefault="003C34B0">
    <w:pPr>
      <w:pStyle w:val="Rodap"/>
    </w:pPr>
  </w:p>
  <w:p w14:paraId="315CA602"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D1ED" w14:textId="77777777" w:rsidR="0016625D" w:rsidRDefault="0016625D" w:rsidP="003C34B0">
      <w:r>
        <w:separator/>
      </w:r>
    </w:p>
  </w:footnote>
  <w:footnote w:type="continuationSeparator" w:id="0">
    <w:p w14:paraId="2209C5E0" w14:textId="77777777" w:rsidR="0016625D" w:rsidRDefault="0016625D"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B3B4" w14:textId="77777777" w:rsidR="003C34B0" w:rsidRDefault="004C700D">
    <w:pPr>
      <w:pStyle w:val="Cabealho"/>
    </w:pPr>
    <w:r>
      <w:rPr>
        <w:noProof/>
        <w:lang w:eastAsia="pt-BR"/>
      </w:rPr>
      <w:drawing>
        <wp:anchor distT="0" distB="0" distL="114300" distR="114300" simplePos="0" relativeHeight="251658240" behindDoc="1" locked="0" layoutInCell="1" allowOverlap="1" wp14:anchorId="125B2211" wp14:editId="4D369EAC">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42A4E578" w14:textId="77777777" w:rsidR="003C34B0" w:rsidRDefault="003C34B0">
    <w:pPr>
      <w:pStyle w:val="Cabealho"/>
    </w:pPr>
  </w:p>
  <w:p w14:paraId="4B0407B5" w14:textId="77777777" w:rsidR="003C34B0" w:rsidRDefault="003C34B0">
    <w:pPr>
      <w:pStyle w:val="Cabealho"/>
    </w:pPr>
  </w:p>
  <w:p w14:paraId="74A87F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F2309"/>
    <w:multiLevelType w:val="hybridMultilevel"/>
    <w:tmpl w:val="7F64B16E"/>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00786"/>
    <w:rsid w:val="000236A1"/>
    <w:rsid w:val="00044A52"/>
    <w:rsid w:val="000B437F"/>
    <w:rsid w:val="00163D4F"/>
    <w:rsid w:val="0016625D"/>
    <w:rsid w:val="00204839"/>
    <w:rsid w:val="00221ACD"/>
    <w:rsid w:val="00232924"/>
    <w:rsid w:val="00234942"/>
    <w:rsid w:val="00236C87"/>
    <w:rsid w:val="0028196C"/>
    <w:rsid w:val="002D4958"/>
    <w:rsid w:val="003A0449"/>
    <w:rsid w:val="003B467C"/>
    <w:rsid w:val="003C34B0"/>
    <w:rsid w:val="003D6F4C"/>
    <w:rsid w:val="003F0F54"/>
    <w:rsid w:val="003F3074"/>
    <w:rsid w:val="00422BCB"/>
    <w:rsid w:val="00481FA3"/>
    <w:rsid w:val="004C1670"/>
    <w:rsid w:val="004C700D"/>
    <w:rsid w:val="004D4D9C"/>
    <w:rsid w:val="00523A05"/>
    <w:rsid w:val="00591FA1"/>
    <w:rsid w:val="005D749E"/>
    <w:rsid w:val="006142C3"/>
    <w:rsid w:val="006D6DA7"/>
    <w:rsid w:val="007151A9"/>
    <w:rsid w:val="00784691"/>
    <w:rsid w:val="007A14E2"/>
    <w:rsid w:val="00861B46"/>
    <w:rsid w:val="008D1389"/>
    <w:rsid w:val="0097498F"/>
    <w:rsid w:val="0097571C"/>
    <w:rsid w:val="00992D6D"/>
    <w:rsid w:val="00A77596"/>
    <w:rsid w:val="00AB6010"/>
    <w:rsid w:val="00AD757B"/>
    <w:rsid w:val="00B00A8A"/>
    <w:rsid w:val="00B60A93"/>
    <w:rsid w:val="00BB6B2A"/>
    <w:rsid w:val="00BD0D86"/>
    <w:rsid w:val="00C03D1D"/>
    <w:rsid w:val="00C15203"/>
    <w:rsid w:val="00C43293"/>
    <w:rsid w:val="00C91250"/>
    <w:rsid w:val="00D315E0"/>
    <w:rsid w:val="00D65808"/>
    <w:rsid w:val="00D9719A"/>
    <w:rsid w:val="00E463F5"/>
    <w:rsid w:val="00E77571"/>
    <w:rsid w:val="00EA3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A32AC"/>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89"/>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pPr>
  </w:style>
  <w:style w:type="character" w:customStyle="1" w:styleId="RodapChar">
    <w:name w:val="Rodapé Char"/>
    <w:basedOn w:val="Fontepargpadro"/>
    <w:link w:val="Rodap"/>
    <w:uiPriority w:val="99"/>
    <w:rsid w:val="003C34B0"/>
  </w:style>
  <w:style w:type="paragraph" w:styleId="Corpodetexto3">
    <w:name w:val="Body Text 3"/>
    <w:basedOn w:val="Normal"/>
    <w:link w:val="Corpodetexto3Char"/>
    <w:uiPriority w:val="99"/>
    <w:unhideWhenUsed/>
    <w:rsid w:val="003F0F54"/>
    <w:pPr>
      <w:widowControl/>
      <w:suppressAutoHyphens w:val="0"/>
      <w:spacing w:after="120" w:line="259" w:lineRule="auto"/>
    </w:pPr>
    <w:rPr>
      <w:rFonts w:asciiTheme="minorHAnsi" w:eastAsiaTheme="minorHAnsi" w:hAnsiTheme="minorHAnsi" w:cstheme="minorBidi"/>
      <w:kern w:val="0"/>
      <w:sz w:val="16"/>
      <w:szCs w:val="16"/>
    </w:rPr>
  </w:style>
  <w:style w:type="character" w:customStyle="1" w:styleId="Corpodetexto3Char">
    <w:name w:val="Corpo de texto 3 Char"/>
    <w:basedOn w:val="Fontepargpadro"/>
    <w:link w:val="Corpodetexto3"/>
    <w:uiPriority w:val="99"/>
    <w:rsid w:val="003F0F54"/>
    <w:rPr>
      <w:sz w:val="16"/>
      <w:szCs w:val="16"/>
    </w:rPr>
  </w:style>
  <w:style w:type="paragraph" w:styleId="SemEspaamento">
    <w:name w:val="No Spacing"/>
    <w:uiPriority w:val="1"/>
    <w:qFormat/>
    <w:rsid w:val="003F0F54"/>
    <w:pPr>
      <w:spacing w:after="0" w:line="240" w:lineRule="auto"/>
    </w:pPr>
  </w:style>
  <w:style w:type="paragraph" w:customStyle="1" w:styleId="Padro">
    <w:name w:val="Padrão"/>
    <w:rsid w:val="004C1670"/>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9C5D-C828-42DC-9746-32A6AE97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FLAVIO PIRES INCALADO</cp:lastModifiedBy>
  <cp:revision>2</cp:revision>
  <cp:lastPrinted>2024-03-18T17:46:00Z</cp:lastPrinted>
  <dcterms:created xsi:type="dcterms:W3CDTF">2024-03-18T18:01:00Z</dcterms:created>
  <dcterms:modified xsi:type="dcterms:W3CDTF">2024-03-18T18:01:00Z</dcterms:modified>
</cp:coreProperties>
</file>