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9AB6" w14:textId="6BAB1C1D" w:rsidR="004A5355" w:rsidRPr="004A5355" w:rsidRDefault="004A5355" w:rsidP="004A5355">
      <w:pPr>
        <w:spacing w:line="360" w:lineRule="auto"/>
        <w:ind w:firstLine="20"/>
        <w:jc w:val="right"/>
        <w:rPr>
          <w:rFonts w:ascii="Times New Roman" w:hAnsi="Times New Roman"/>
        </w:rPr>
      </w:pPr>
      <w:r w:rsidRPr="004A5355">
        <w:rPr>
          <w:rFonts w:ascii="Times New Roman" w:hAnsi="Times New Roman"/>
        </w:rPr>
        <w:t>Sete Lagoas, 22 de janeiro de 2024.</w:t>
      </w:r>
    </w:p>
    <w:p w14:paraId="04E801A0" w14:textId="77777777" w:rsidR="004A5355" w:rsidRPr="004A5355" w:rsidRDefault="004A5355" w:rsidP="004A5355">
      <w:pPr>
        <w:spacing w:line="360" w:lineRule="auto"/>
        <w:rPr>
          <w:rFonts w:ascii="Times New Roman" w:hAnsi="Times New Roman"/>
        </w:rPr>
      </w:pPr>
      <w:r w:rsidRPr="004A5355">
        <w:rPr>
          <w:rFonts w:ascii="Times New Roman" w:hAnsi="Times New Roman"/>
          <w:b/>
        </w:rPr>
        <w:t>PARECER</w:t>
      </w:r>
      <w:r w:rsidRPr="004A5355">
        <w:rPr>
          <w:rFonts w:ascii="Times New Roman" w:hAnsi="Times New Roman"/>
        </w:rPr>
        <w:t xml:space="preserve"> </w:t>
      </w:r>
      <w:r w:rsidRPr="004A5355">
        <w:rPr>
          <w:rFonts w:ascii="Times New Roman" w:hAnsi="Times New Roman"/>
          <w:b/>
        </w:rPr>
        <w:t>PGL.</w:t>
      </w:r>
    </w:p>
    <w:p w14:paraId="539311DE" w14:textId="3ECD46B4" w:rsidR="004A5355" w:rsidRPr="004A5355" w:rsidRDefault="004A5355" w:rsidP="004A5355">
      <w:pPr>
        <w:spacing w:line="360" w:lineRule="auto"/>
        <w:rPr>
          <w:rFonts w:ascii="Times New Roman" w:hAnsi="Times New Roman"/>
        </w:rPr>
      </w:pPr>
      <w:r w:rsidRPr="004A5355">
        <w:rPr>
          <w:rFonts w:ascii="Times New Roman" w:hAnsi="Times New Roman"/>
          <w:b/>
        </w:rPr>
        <w:t>Matéria</w:t>
      </w:r>
      <w:r w:rsidRPr="004A5355">
        <w:rPr>
          <w:rFonts w:ascii="Times New Roman" w:hAnsi="Times New Roman"/>
        </w:rPr>
        <w:t>: Projeto de Lei nº 376/2023</w:t>
      </w:r>
    </w:p>
    <w:p w14:paraId="4C215B12" w14:textId="168B8A55" w:rsidR="004A5355" w:rsidRPr="00253A3B" w:rsidRDefault="004A5355" w:rsidP="004A5355">
      <w:pPr>
        <w:pBdr>
          <w:bottom w:val="single" w:sz="12" w:space="1" w:color="auto"/>
        </w:pBdr>
        <w:spacing w:line="360" w:lineRule="auto"/>
        <w:rPr>
          <w:rFonts w:ascii="Times New Roman" w:hAnsi="Times New Roman"/>
        </w:rPr>
      </w:pPr>
      <w:r w:rsidRPr="004A5355">
        <w:rPr>
          <w:rFonts w:ascii="Times New Roman" w:hAnsi="Times New Roman"/>
          <w:b/>
        </w:rPr>
        <w:t>Autoria:</w:t>
      </w:r>
      <w:r w:rsidRPr="004A5355">
        <w:rPr>
          <w:rFonts w:ascii="Times New Roman" w:hAnsi="Times New Roman"/>
        </w:rPr>
        <w:t xml:space="preserve"> Vereador(a) Heloísa Diniz Frois.</w:t>
      </w:r>
    </w:p>
    <w:p w14:paraId="09703786" w14:textId="77777777" w:rsidR="00972F4E" w:rsidRDefault="00972F4E" w:rsidP="00002131">
      <w:pPr>
        <w:pStyle w:val="PargrafodaLista"/>
      </w:pPr>
    </w:p>
    <w:p w14:paraId="1F86B647" w14:textId="6C6310F2" w:rsidR="00A337EA" w:rsidRDefault="004D5C89" w:rsidP="00002131">
      <w:pPr>
        <w:pStyle w:val="PargrafodaLista"/>
      </w:pPr>
      <w:r w:rsidRPr="004F4EB9">
        <w:t>Trata</w:t>
      </w:r>
      <w:r>
        <w:t>-se</w:t>
      </w:r>
      <w:r w:rsidR="00002131" w:rsidRPr="004F4EB9">
        <w:t xml:space="preserve"> de </w:t>
      </w:r>
      <w:r w:rsidR="00002131">
        <w:t xml:space="preserve">projeto de </w:t>
      </w:r>
      <w:r w:rsidR="00002131" w:rsidRPr="004F4EB9">
        <w:t xml:space="preserve">Lei ordinária </w:t>
      </w:r>
      <w:r w:rsidR="00002131">
        <w:t>que</w:t>
      </w:r>
      <w:r>
        <w:t xml:space="preserve"> reconhece como de relevante interesse cultural para o patrimônio imaterial do Município de Sete Lagoas, produtos de </w:t>
      </w:r>
      <w:r w:rsidR="00353E47">
        <w:t>fabricação de diversos estabelecimentos de Sete Lagoas</w:t>
      </w:r>
      <w:r w:rsidR="00BB28CE">
        <w:t xml:space="preserve">, além de uma feira livre. </w:t>
      </w:r>
    </w:p>
    <w:p w14:paraId="68372E64" w14:textId="1D8F0648" w:rsidR="00A337EA" w:rsidRDefault="00A337EA" w:rsidP="00002131">
      <w:pPr>
        <w:pStyle w:val="PargrafodaLista"/>
      </w:pPr>
    </w:p>
    <w:p w14:paraId="3908D417" w14:textId="4FF3A8EE" w:rsidR="004D5C89" w:rsidRDefault="004D5C89" w:rsidP="00002131">
      <w:pPr>
        <w:pStyle w:val="PargrafodaLista"/>
      </w:pPr>
      <w:r>
        <w:t xml:space="preserve">Note-se que o projeto não compreende, em si, o já reconhecimento do produto como integrante do patrimônio cultural, limitando-se a reconhecer sua relevância e submetê-los ao processo administrativo de reconhecimento de que trata a Lei Municipal 7.266/2006. </w:t>
      </w:r>
    </w:p>
    <w:p w14:paraId="06B376C5" w14:textId="77777777" w:rsidR="00002131" w:rsidRDefault="00002131" w:rsidP="00002131">
      <w:pPr>
        <w:pStyle w:val="PargrafodaLista"/>
      </w:pPr>
    </w:p>
    <w:p w14:paraId="2DE013E6" w14:textId="77777777" w:rsidR="00002131" w:rsidRDefault="00002131" w:rsidP="00002131">
      <w:pPr>
        <w:pStyle w:val="PargrafodaLista"/>
        <w:tabs>
          <w:tab w:val="left" w:pos="4310"/>
        </w:tabs>
      </w:pPr>
      <w:r>
        <w:tab/>
        <w:t xml:space="preserve"> </w:t>
      </w:r>
    </w:p>
    <w:p w14:paraId="0868181A" w14:textId="77777777" w:rsidR="00002131" w:rsidRDefault="00002131" w:rsidP="00002131">
      <w:pPr>
        <w:pStyle w:val="Ttulo2"/>
        <w:numPr>
          <w:ilvl w:val="0"/>
          <w:numId w:val="3"/>
        </w:numPr>
      </w:pPr>
      <w:r w:rsidRPr="008632BC">
        <w:t>Fundamentação</w:t>
      </w:r>
    </w:p>
    <w:p w14:paraId="1C71641B" w14:textId="77777777" w:rsidR="00002131" w:rsidRDefault="00002131" w:rsidP="00002131">
      <w:pPr>
        <w:pStyle w:val="PargrafodaLista"/>
      </w:pPr>
    </w:p>
    <w:p w14:paraId="451A1E4C" w14:textId="0C69EA58" w:rsidR="00002131" w:rsidRDefault="00002131" w:rsidP="00002131">
      <w:pPr>
        <w:pStyle w:val="PargrafodaLista"/>
      </w:pPr>
      <w:r>
        <w:t xml:space="preserve">Já me posicionei aderindo ao entendimento que vem se firmando na jurisprudência atual, no sentido de reconhecer a iniciativa parlamentar para os atos de proteção ao patrimônio, tanto material quanto imaterial. </w:t>
      </w:r>
    </w:p>
    <w:p w14:paraId="1609362F" w14:textId="77777777" w:rsidR="00002131" w:rsidRDefault="00002131" w:rsidP="00002131">
      <w:pPr>
        <w:pStyle w:val="PargrafodaLista"/>
      </w:pPr>
    </w:p>
    <w:p w14:paraId="242745E4" w14:textId="6DC9CCA9" w:rsidR="003B478D" w:rsidRDefault="004D5C89" w:rsidP="00002131">
      <w:pPr>
        <w:pStyle w:val="PargrafodaLista"/>
      </w:pPr>
      <w:r>
        <w:t xml:space="preserve">Registre-se que no caso sob análise, não há, como ocorre em alguns dos projetos do mesmo autor, o reconhecimento dos produtos como patrimônio imaterial, mas de sua relevância e, em virtude dela, a possibilidade de que se vejam reconhecidos com tal qualidade e característica. </w:t>
      </w:r>
    </w:p>
    <w:p w14:paraId="0B74D213" w14:textId="77777777" w:rsidR="004D5C89" w:rsidRDefault="004D5C89" w:rsidP="00002131">
      <w:pPr>
        <w:pStyle w:val="PargrafodaLista"/>
      </w:pPr>
    </w:p>
    <w:p w14:paraId="3C5C179D" w14:textId="77777777" w:rsidR="00002131" w:rsidRPr="003C6C39" w:rsidRDefault="00002131" w:rsidP="00002131">
      <w:pPr>
        <w:pStyle w:val="PargrafodaLista"/>
        <w:rPr>
          <w:rStyle w:val="qowt-font5-calibri"/>
          <w:b/>
          <w:bCs/>
        </w:rPr>
      </w:pPr>
      <w:r>
        <w:t xml:space="preserve">Sob o ponto de vista da iniciativa de lei, compreendo que a matéria não é reservada, seja pelas Constituições Federal e Estadual, seja pela Lei orgânica do Município de Sete Lagoas (LOMSL) à prerrogativa do executivo, pelo que, compreendo autorizado o poder legislativo a realizar atos de proteção ao patrimônio cultural. Observo que a compreensão é tormentosa na casa legislativa, por contrariar entendimento fundado em superada jurisprudência de nossos tribunais superiores no sentido de que, por recepcionar, a Constituição, o </w:t>
      </w:r>
      <w:r>
        <w:rPr>
          <w:rStyle w:val="qowt-font5-calibri"/>
        </w:rPr>
        <w:t xml:space="preserve">Decreto-Lei 25/37, os atos de proteção teriam cunho de ato administrativo e estariam reservados somente ao poder executivo esta possibilidade. </w:t>
      </w:r>
      <w:r w:rsidRPr="003C6C39">
        <w:rPr>
          <w:rStyle w:val="qowt-font5-calibri"/>
          <w:b/>
          <w:bCs/>
        </w:rPr>
        <w:t xml:space="preserve">Divirjo, por aderir </w:t>
      </w:r>
      <w:r>
        <w:rPr>
          <w:rStyle w:val="qowt-font5-calibri"/>
          <w:b/>
          <w:bCs/>
        </w:rPr>
        <w:t>a</w:t>
      </w:r>
      <w:r w:rsidRPr="003C6C39">
        <w:rPr>
          <w:rStyle w:val="qowt-font5-calibri"/>
          <w:b/>
          <w:bCs/>
        </w:rPr>
        <w:t xml:space="preserve">o entendimento esposado pela justificativa ao projeto, abaixo transcrito: </w:t>
      </w:r>
    </w:p>
    <w:p w14:paraId="3402B6B5" w14:textId="77777777" w:rsidR="00002131" w:rsidRDefault="00002131" w:rsidP="00002131">
      <w:pPr>
        <w:pStyle w:val="PargrafodaLista"/>
        <w:rPr>
          <w:rStyle w:val="qowt-font5-calibri"/>
        </w:rPr>
      </w:pPr>
    </w:p>
    <w:p w14:paraId="6727FAF8" w14:textId="77777777" w:rsidR="00002131" w:rsidRPr="006E5331" w:rsidRDefault="00002131" w:rsidP="00002131">
      <w:pPr>
        <w:pStyle w:val="Citao"/>
        <w:rPr>
          <w:rFonts w:ascii="Times New Roman" w:eastAsia="Times New Roman" w:hAnsi="Times New Roman"/>
          <w:color w:val="auto"/>
          <w:kern w:val="0"/>
        </w:rPr>
      </w:pPr>
      <w:r w:rsidRPr="006E5331">
        <w:rPr>
          <w:rStyle w:val="qowt-font5-calibri"/>
          <w:szCs w:val="20"/>
        </w:rPr>
        <w:lastRenderedPageBreak/>
        <w:t>A Constituição da República impõe ao Poder Público a obrigação de apoiar e incentivar a valorização e a difusão das manifestações culturais (art. 215), além de promover e proteger o patrimônio cultural (art. 216, §1º). No mesmo sentido, a Constituição Estadual também atribui ao Poder Público a obrigação de valorizar e difundir as manifestações culturais da comunidade mineira, inclusive mediante estímulo às atividades de caráter cultural e artístico, notadamente as de cunho regional e as folclóricas (art. 207, VII), cabendo-lhe apoiar a preservação das manifestações culturais locais (art. 207, § 1º).</w:t>
      </w:r>
      <w:r w:rsidRPr="006E5331">
        <w:t xml:space="preserve"> </w:t>
      </w:r>
    </w:p>
    <w:p w14:paraId="03D3E54C" w14:textId="77777777" w:rsidR="00002131" w:rsidRPr="006E5331" w:rsidRDefault="00002131" w:rsidP="00002131">
      <w:pPr>
        <w:pStyle w:val="Citao"/>
      </w:pPr>
      <w:r w:rsidRPr="006E5331">
        <w:rPr>
          <w:rStyle w:val="qowt-font5-calibri"/>
          <w:szCs w:val="20"/>
        </w:rPr>
        <w:t>A expressão Poder Público possui como destinatárias todas as esferas de atuação estatal, seja federal, estadual ou municipal, incluindo a divisão tripartite de poderes (Legislativo, Executivo e Judiciário). O tombamento, por sua vez, se dá mediante a declaração do Poder Público Federal, Estadual, Distrital ou Municipal, reconhecendo o valor histórico, artístico, paisagístico, turístico, cultural ou científico de bens, individual ou coletivamente considerados, que impõem ser preservados, culminando-se, ao final, com a inscrição em livro próprio (Tombo) e averbação no registro no cartório de imóveis, se for o caso.</w:t>
      </w:r>
      <w:r w:rsidRPr="006E5331">
        <w:t xml:space="preserve"> </w:t>
      </w:r>
    </w:p>
    <w:p w14:paraId="731048FB" w14:textId="77777777" w:rsidR="00002131" w:rsidRPr="00905919" w:rsidRDefault="00002131" w:rsidP="00002131">
      <w:pPr>
        <w:pStyle w:val="Citao"/>
        <w:rPr>
          <w:rStyle w:val="qowt-font5-calibri"/>
          <w:szCs w:val="20"/>
        </w:rPr>
      </w:pPr>
      <w:r w:rsidRPr="00905919">
        <w:rPr>
          <w:rStyle w:val="qowt-font5-calibri"/>
          <w:szCs w:val="20"/>
        </w:rPr>
        <w:t xml:space="preserve">O Supremo Tribunal Federal, em sede de julgamento do Agravo Regimental na Ação Cível Originária 1.208 do Mato Grosso do Sul, de relatoria do Ministro Gilmar Mendes, firmou entendimento de que o ato legislativo (Lei Ordinária) que instituiu o tombamento, apresenta-se como lei de efeitos concretos, a qual se consubstancia em tombamento provisório – de natureza declaratória –, necessitando, todavia, de posterior implementação pelo Poder Executivo, mediante notificação posterior ao ente federativo proprietário do bem, nos termos do art. 5º do Decreto-Lei 25/37, que organiza a proteção do patrimônio histórico e artístico nacional e disciplina, portanto, o tombamento. </w:t>
      </w:r>
    </w:p>
    <w:p w14:paraId="52CCC41C" w14:textId="77777777" w:rsidR="00002131" w:rsidRPr="00E57613" w:rsidRDefault="00002131" w:rsidP="00E65DBD">
      <w:pPr>
        <w:pStyle w:val="x-scope"/>
        <w:numPr>
          <w:ilvl w:val="0"/>
          <w:numId w:val="4"/>
        </w:numPr>
        <w:jc w:val="both"/>
        <w:rPr>
          <w:sz w:val="20"/>
          <w:szCs w:val="20"/>
        </w:rPr>
      </w:pPr>
      <w:r w:rsidRPr="00E57613">
        <w:rPr>
          <w:rStyle w:val="qowt-font5-calibri"/>
          <w:i/>
          <w:iCs/>
          <w:sz w:val="20"/>
          <w:szCs w:val="20"/>
        </w:rPr>
        <w:t>Agravo em ação cível originária. 2. Administrativo e Constitucional. 3. Tombamento de bem público da União por Estado. Conflito Federativo. Competência desta Corte. 4. Hierarquia verticalizada, prevista na Lei de Desapropriação (Decreto-Lei 3.365/41). Inaplicabilidade no tombamento. Regramento específico. Decreto-Lei 25/1937 (</w:t>
      </w:r>
      <w:proofErr w:type="spellStart"/>
      <w:r w:rsidRPr="00E57613">
        <w:rPr>
          <w:rStyle w:val="qowt-font5-calibri"/>
          <w:i/>
          <w:iCs/>
          <w:sz w:val="20"/>
          <w:szCs w:val="20"/>
        </w:rPr>
        <w:t>arts</w:t>
      </w:r>
      <w:proofErr w:type="spellEnd"/>
      <w:r w:rsidRPr="00E57613">
        <w:rPr>
          <w:rStyle w:val="qowt-font5-calibri"/>
          <w:i/>
          <w:iCs/>
          <w:sz w:val="20"/>
          <w:szCs w:val="20"/>
        </w:rPr>
        <w:t xml:space="preserve">. 2º, 5º e 11). Interpretação histórica, teleológica, sistemática e/ou literal. Possibilidade de o Estado tombar bem da União. Doutrina. 5. Lei do Estado de Mato Grosso do Sul 1.526/1994. Devido processo legal observado. 6. </w:t>
      </w:r>
      <w:r w:rsidRPr="00E57613">
        <w:rPr>
          <w:rStyle w:val="qowt-font5-calibri"/>
          <w:b/>
          <w:bCs/>
          <w:i/>
          <w:iCs/>
          <w:sz w:val="20"/>
          <w:szCs w:val="20"/>
          <w:u w:val="single"/>
        </w:rPr>
        <w:t>Competências concorrentes material (art. 23, III e IV, c/c art. 216, § 1º, da CF) e legislativa (art. 24, VII, da CF). Ausência de previsão expressa na Constituição Estadual quanto à competência legislativa. Desnecessidade.</w:t>
      </w:r>
      <w:r w:rsidRPr="00E57613">
        <w:rPr>
          <w:rStyle w:val="qowt-font5-calibri"/>
          <w:i/>
          <w:iCs/>
          <w:sz w:val="20"/>
          <w:szCs w:val="20"/>
        </w:rPr>
        <w:t xml:space="preserve"> Rol exemplificativo do art. 62 da CE. Proteção do patrimônio histórico, cultural, artístico, turístico e paisagístico regional. Interesse estadual. 7. Ilegalidade. Vício de procedimento por ser implementado apenas por ato administrativo. Rejeição. </w:t>
      </w:r>
      <w:r w:rsidRPr="00E57613">
        <w:rPr>
          <w:rStyle w:val="qowt-font5-calibri"/>
          <w:b/>
          <w:bCs/>
          <w:i/>
          <w:iCs/>
          <w:sz w:val="20"/>
          <w:szCs w:val="20"/>
          <w:u w:val="single"/>
        </w:rPr>
        <w:t>Possibilidade de lei realizar tombamento de bem. Fase provisória. Efeito meramente declaratório.</w:t>
      </w:r>
      <w:r w:rsidRPr="00E57613">
        <w:rPr>
          <w:rStyle w:val="qowt-font5-calibri"/>
          <w:i/>
          <w:iCs/>
          <w:sz w:val="20"/>
          <w:szCs w:val="20"/>
        </w:rPr>
        <w:t xml:space="preserve"> Necessidade de implementação de procedimentos ulteriores pelo Poder Executivo. 8. Notificação prévia. Tombamento de ofício (art. 5º do Decreto-Lei </w:t>
      </w:r>
      <w:r w:rsidRPr="00E57613">
        <w:rPr>
          <w:rStyle w:val="qowt-font5-calibri"/>
          <w:i/>
          <w:iCs/>
          <w:sz w:val="20"/>
          <w:szCs w:val="20"/>
        </w:rPr>
        <w:lastRenderedPageBreak/>
        <w:t xml:space="preserve">25/1937). Cientificação do proprietário postergada para a fase definitiva. Condição de eficácia e não de validade. Doutrina. 9. Ausência de argumentos capazes de infirmar a decisão agravada. 10. Agravo desprovido. 11. Honorários advocatícios majorados para 20% do valor atualizado da causa à época de decisão recorrida (§ 11 do art. 85 do CPC). (ACO 1208 </w:t>
      </w:r>
      <w:proofErr w:type="spellStart"/>
      <w:r w:rsidRPr="00E57613">
        <w:rPr>
          <w:rStyle w:val="qowt-font5-calibri"/>
          <w:i/>
          <w:iCs/>
          <w:sz w:val="20"/>
          <w:szCs w:val="20"/>
        </w:rPr>
        <w:t>AgR</w:t>
      </w:r>
      <w:proofErr w:type="spellEnd"/>
      <w:r w:rsidRPr="00E57613">
        <w:rPr>
          <w:rStyle w:val="qowt-font5-calibri"/>
          <w:i/>
          <w:iCs/>
          <w:sz w:val="20"/>
          <w:szCs w:val="20"/>
        </w:rPr>
        <w:t>, Relator(a): GILMAR MENDES, Tribunal Pleno, julgado em 24/11/2017, ACÓRDÃO ELETRÔNICO DJe-278 DIVULG 01-12-2017 PUBLIC 04-12-2017) (grifos nosso)</w:t>
      </w:r>
      <w:r w:rsidRPr="00E57613">
        <w:rPr>
          <w:sz w:val="20"/>
          <w:szCs w:val="20"/>
        </w:rPr>
        <w:t xml:space="preserve"> </w:t>
      </w:r>
    </w:p>
    <w:p w14:paraId="148C5AFD" w14:textId="77777777" w:rsidR="00002131" w:rsidRPr="00E57613" w:rsidRDefault="00002131" w:rsidP="00002131">
      <w:pPr>
        <w:pStyle w:val="Citao"/>
      </w:pPr>
      <w:r w:rsidRPr="00E57613">
        <w:rPr>
          <w:rStyle w:val="qowt-font5-calibri"/>
          <w:szCs w:val="20"/>
        </w:rPr>
        <w:t>Desta feita, em vista das referidas disposições constitucionais e da</w:t>
      </w:r>
      <w:r w:rsidRPr="00E57613">
        <w:rPr>
          <w:rStyle w:val="qowt-font5-calibri"/>
        </w:rPr>
        <w:t xml:space="preserve"> jurisprudência consolidada pelo STF, considera-se que o Poder Legislativo deve também contribuir para promover o estímulo às atividades de caráter cultural e artístico no Município, eis que inserido dentro da concepção de Poder Público, sobretudo para propor o tombamento de bens que se impõe a preservação, por meio de ato legislativo próprio – como o presente Projeto de Lei Ordinária – consubstanciado em tombamento provisório, de natureza declaratória, que precede o respectivo ato administrativo de inscrição no competente Livro de Tombo.</w:t>
      </w:r>
    </w:p>
    <w:p w14:paraId="678B5634" w14:textId="77777777" w:rsidR="00002131" w:rsidRDefault="00002131" w:rsidP="004D5C89">
      <w:pPr>
        <w:pStyle w:val="PargrafodaLista"/>
      </w:pPr>
    </w:p>
    <w:p w14:paraId="6C57D60D" w14:textId="554574E3" w:rsidR="004D5C89" w:rsidRDefault="004D5C89" w:rsidP="004D5C89">
      <w:pPr>
        <w:pStyle w:val="PargrafodaLista"/>
      </w:pPr>
      <w:r>
        <w:t xml:space="preserve">Veja-se, pois, que poderia o projeto se propor a reconhecer os produtos como patrimônio imaterial, por iniciativa de lei de edil. Os projetos sob análise, entretanto, não outorgam aos produtos a qualidade de patrimônio imaterial. Reconhecem sua relevância e o conduzem à análise da entidade administrativa responsável pela verificação das características e enquadramento. </w:t>
      </w:r>
    </w:p>
    <w:p w14:paraId="39C013A9" w14:textId="77777777" w:rsidR="004D5C89" w:rsidRDefault="004D5C89" w:rsidP="004D5C89">
      <w:pPr>
        <w:pStyle w:val="PargrafodaLista"/>
      </w:pPr>
    </w:p>
    <w:p w14:paraId="440C4448" w14:textId="1FFB69C1" w:rsidR="00795D9F" w:rsidRDefault="004D5C89" w:rsidP="004D5C89">
      <w:pPr>
        <w:pStyle w:val="PargrafodaLista"/>
      </w:pPr>
      <w:r>
        <w:t xml:space="preserve">A meu ver, o projeto de lei, em se verificando que os produtos são de origem de um determinado produtor específico, o que poderia </w:t>
      </w:r>
      <w:r w:rsidR="009973B5">
        <w:t>trazer consigo eventual obstáculo por inconstitucional violação do princípio da impessoalidade, trazendo, ao contrário do reconhecimento de um produto de natureza cultural e diferenciada, uma forma de promoção vedada à administração pública</w:t>
      </w:r>
      <w:r w:rsidR="00795D9F">
        <w:t xml:space="preserve">. </w:t>
      </w:r>
      <w:r w:rsidR="00AC0DC5">
        <w:t>Todavia, não há dúvidas de que a gastronomia integra uma relevante característica da cultura de um povo e</w:t>
      </w:r>
      <w:r w:rsidR="007C3598">
        <w:t xml:space="preserve"> difunde-se mediante as sociedades, </w:t>
      </w:r>
      <w:r w:rsidR="00A91F37">
        <w:t xml:space="preserve">servindo de marca expressiva de um município, região ou nação. </w:t>
      </w:r>
    </w:p>
    <w:p w14:paraId="4906676C" w14:textId="51CAAC9E" w:rsidR="00D749C0" w:rsidRDefault="00D749C0" w:rsidP="004D5C89">
      <w:pPr>
        <w:pStyle w:val="PargrafodaLista"/>
      </w:pPr>
    </w:p>
    <w:p w14:paraId="11E95CAB" w14:textId="5B3748DC" w:rsidR="00D749C0" w:rsidRDefault="00D749C0" w:rsidP="004D5C89">
      <w:pPr>
        <w:pStyle w:val="PargrafodaLista"/>
      </w:pPr>
      <w:r>
        <w:t>Exemplos do que se disse no parágrafo anterior, as “pamonhas de Piracicaba</w:t>
      </w:r>
      <w:r w:rsidR="003F2E8C">
        <w:t>” tem a referida cidade associada ao conceito de “terra da pamonha”, se difundindo Brasil Afora através do pregão</w:t>
      </w:r>
      <w:r w:rsidR="000071C8">
        <w:t xml:space="preserve"> das pamonhas de Piracicaba: </w:t>
      </w:r>
      <w:r w:rsidR="003F2E8C">
        <w:t>(</w:t>
      </w:r>
      <w:r w:rsidR="00D0009D">
        <w:t>mídia de divulgação por áudio em veículo nas ruas</w:t>
      </w:r>
      <w:r w:rsidR="000071C8">
        <w:t xml:space="preserve"> criadas por </w:t>
      </w:r>
      <w:r w:rsidR="00D0009D">
        <w:t xml:space="preserve"> </w:t>
      </w:r>
      <w:r w:rsidR="006F4093" w:rsidRPr="006F4093">
        <w:t xml:space="preserve">Dirceu </w:t>
      </w:r>
      <w:proofErr w:type="spellStart"/>
      <w:r w:rsidR="006F4093" w:rsidRPr="006F4093">
        <w:t>Bigelli</w:t>
      </w:r>
      <w:proofErr w:type="spellEnd"/>
      <w:r w:rsidR="006F4093" w:rsidRPr="006F4093">
        <w:t>, um vendedor de pamonhas que montou uma frota de veículos que vendiam pamonhas pelo estado de São Paulo</w:t>
      </w:r>
      <w:r w:rsidR="000071C8">
        <w:t xml:space="preserve">, cujo teor se difundiu por todo o Brasil). </w:t>
      </w:r>
      <w:r w:rsidR="00A1663D">
        <w:t xml:space="preserve">Minas Gerais é a terra do Pão de Queijo. </w:t>
      </w:r>
    </w:p>
    <w:p w14:paraId="390E2C46" w14:textId="77777777" w:rsidR="00A91F37" w:rsidRDefault="00A91F37" w:rsidP="004D5C89">
      <w:pPr>
        <w:pStyle w:val="PargrafodaLista"/>
      </w:pPr>
    </w:p>
    <w:p w14:paraId="25A70BCA" w14:textId="5B2F1530" w:rsidR="001B4CCF" w:rsidRDefault="001B4CCF" w:rsidP="004D5C89">
      <w:pPr>
        <w:pStyle w:val="PargrafodaLista"/>
      </w:pPr>
      <w:r>
        <w:t xml:space="preserve">E se não há dúvidas de que a gastronomia é uma </w:t>
      </w:r>
      <w:r w:rsidR="007C1D7F">
        <w:t xml:space="preserve">expressão cultural, também não há de que a culinária constitui uma expressão da arte, </w:t>
      </w:r>
      <w:r w:rsidR="007C1D7F">
        <w:lastRenderedPageBreak/>
        <w:t xml:space="preserve">sendo que em todas as comunidades existe aqueles que se destacam </w:t>
      </w:r>
      <w:r w:rsidR="00C45CFA">
        <w:t>pela força de uma receita ou iguaria</w:t>
      </w:r>
      <w:r w:rsidR="00921C72">
        <w:t xml:space="preserve">, daí pelo que a total possibilidade de que um determinado criador </w:t>
      </w:r>
      <w:r w:rsidR="001D2F0B">
        <w:t xml:space="preserve">de uma receita de ingrediente que se expande na apreciação de um grande </w:t>
      </w:r>
      <w:proofErr w:type="spellStart"/>
      <w:r w:rsidR="001D2F0B">
        <w:t>numero</w:t>
      </w:r>
      <w:proofErr w:type="spellEnd"/>
      <w:r w:rsidR="001D2F0B">
        <w:t xml:space="preserve"> de observadores</w:t>
      </w:r>
      <w:r w:rsidR="006C6704">
        <w:t xml:space="preserve"> admitir perfeitamente o reconhecimento público, tal qual ocorre com um quadro, uma música ou qualquer expressão artística. </w:t>
      </w:r>
    </w:p>
    <w:p w14:paraId="2A4420AB" w14:textId="77777777" w:rsidR="00795D9F" w:rsidRDefault="00795D9F" w:rsidP="004D5C89">
      <w:pPr>
        <w:pStyle w:val="PargrafodaLista"/>
      </w:pPr>
    </w:p>
    <w:p w14:paraId="726FF662" w14:textId="1ECB3071" w:rsidR="004D5C89" w:rsidRDefault="00327F9C" w:rsidP="004D5C89">
      <w:pPr>
        <w:pStyle w:val="PargrafodaLista"/>
      </w:pPr>
      <w:r>
        <w:t xml:space="preserve">Certo é que, para que se conclua sobre a questão, serão necessários atos administrativos. Por força do </w:t>
      </w:r>
      <w:r w:rsidR="009973B5">
        <w:t>Art</w:t>
      </w:r>
      <w:r>
        <w:t xml:space="preserve">. </w:t>
      </w:r>
      <w:r w:rsidR="009973B5">
        <w:t xml:space="preserve"> 11 da Lei 7.266/2006, que regulamenta o reconhecimento do patrimônio cultural no âmbito do </w:t>
      </w:r>
      <w:r w:rsidR="001A3CDF">
        <w:t>Município, se tem o seguinte</w:t>
      </w:r>
      <w:r w:rsidR="009973B5">
        <w:t xml:space="preserve">: </w:t>
      </w:r>
    </w:p>
    <w:p w14:paraId="0565BBAC" w14:textId="77777777" w:rsidR="009973B5" w:rsidRDefault="009973B5" w:rsidP="009973B5">
      <w:pPr>
        <w:pStyle w:val="PargrafodaLista"/>
      </w:pPr>
    </w:p>
    <w:p w14:paraId="2ADD5C73" w14:textId="77777777" w:rsidR="009973B5" w:rsidRDefault="009973B5" w:rsidP="009973B5">
      <w:pPr>
        <w:pStyle w:val="Citao"/>
      </w:pPr>
      <w:r w:rsidRPr="009973B5">
        <w:rPr>
          <w:b/>
          <w:bCs/>
        </w:rPr>
        <w:t>Art. 11 - A proposta de registro poderá ser feita</w:t>
      </w:r>
      <w:r>
        <w:t xml:space="preserve"> por membro do Conselho Municipal do Patrimônio Cultural, por órgão ou entidade pública da área de cultura, educação ou </w:t>
      </w:r>
      <w:r w:rsidRPr="009973B5">
        <w:rPr>
          <w:b/>
          <w:bCs/>
        </w:rPr>
        <w:t>turismo ou por qualquer cidadão, entidade, ou associação civil.</w:t>
      </w:r>
    </w:p>
    <w:p w14:paraId="6574A4A2" w14:textId="21C48049" w:rsidR="009973B5" w:rsidRDefault="009973B5" w:rsidP="009973B5">
      <w:pPr>
        <w:pStyle w:val="Citao"/>
      </w:pPr>
      <w:r>
        <w:t>Parágrafo Único - A proposta de registro a que se refere o "caput" deste artigo será instruída com documentação técnica que descreva o bem cultural e justifique sua relevância para a memória, a identidade e a formação da comunidade.</w:t>
      </w:r>
    </w:p>
    <w:p w14:paraId="1CAEEA1A" w14:textId="77777777" w:rsidR="004D5C89" w:rsidRDefault="004D5C89" w:rsidP="004D5C89">
      <w:pPr>
        <w:pStyle w:val="PargrafodaLista"/>
      </w:pPr>
    </w:p>
    <w:p w14:paraId="285199B4" w14:textId="65F6E855" w:rsidR="004D5C89" w:rsidRDefault="009973B5" w:rsidP="004D5C89">
      <w:pPr>
        <w:pStyle w:val="PargrafodaLista"/>
      </w:pPr>
      <w:r>
        <w:t xml:space="preserve">Assim sendo, compreendendo que o mero reconhecimento da relevância, por si só, não se traduz em benefício para o reconhecido, mas que a aprovação do projeto de lei é o meio ideal de formalização da proposta de registro pela Câmara Municipal, dentre as proposições legislativas existentes e suas respectivas finalidades, opino pela CONTITUCIONALIDADE, LEGALIDADE E JURIDICIDADE DOS PROJETOS DE LEI, conjuntamente apreciados em razão de sua similitude. </w:t>
      </w:r>
    </w:p>
    <w:p w14:paraId="6EF6B054" w14:textId="77777777" w:rsidR="004D5C89" w:rsidRPr="004D5C89" w:rsidRDefault="004D5C89" w:rsidP="004D5C89">
      <w:pPr>
        <w:pStyle w:val="PargrafodaLista"/>
      </w:pPr>
    </w:p>
    <w:p w14:paraId="4B97073A" w14:textId="77777777" w:rsidR="00002131" w:rsidRDefault="00002131" w:rsidP="00002131">
      <w:pPr>
        <w:pStyle w:val="Ttulo2"/>
        <w:numPr>
          <w:ilvl w:val="0"/>
          <w:numId w:val="3"/>
        </w:numPr>
      </w:pPr>
      <w:r>
        <w:t xml:space="preserve">Conclusão: </w:t>
      </w:r>
    </w:p>
    <w:p w14:paraId="7BFD1A40" w14:textId="77777777" w:rsidR="00002131" w:rsidRDefault="00002131" w:rsidP="00002131">
      <w:pPr>
        <w:pStyle w:val="PargrafodaLista"/>
      </w:pPr>
    </w:p>
    <w:p w14:paraId="71882485" w14:textId="629D909E" w:rsidR="00804270" w:rsidRDefault="00002131" w:rsidP="00002131">
      <w:pPr>
        <w:pStyle w:val="PargrafodaLista"/>
        <w:rPr>
          <w:b/>
          <w:bCs/>
        </w:rPr>
      </w:pPr>
      <w:r>
        <w:rPr>
          <w:b/>
          <w:bCs/>
        </w:rPr>
        <w:t xml:space="preserve">Isto posto, opino pela </w:t>
      </w:r>
      <w:r w:rsidR="009973B5">
        <w:rPr>
          <w:b/>
          <w:bCs/>
        </w:rPr>
        <w:t>C</w:t>
      </w:r>
      <w:r>
        <w:rPr>
          <w:b/>
          <w:bCs/>
        </w:rPr>
        <w:t xml:space="preserve">ONSTITUCIONALIDADE, </w:t>
      </w:r>
      <w:r w:rsidR="009973B5" w:rsidRPr="009973B5">
        <w:rPr>
          <w:b/>
          <w:bCs/>
        </w:rPr>
        <w:t xml:space="preserve">LEGALIDADE E JURIDICIDADE DO PROJETO DE </w:t>
      </w:r>
      <w:r w:rsidR="009D5822">
        <w:rPr>
          <w:b/>
          <w:bCs/>
        </w:rPr>
        <w:t>LEI REPORTADO NA EPIGRAFE</w:t>
      </w:r>
      <w:r w:rsidR="009973B5">
        <w:rPr>
          <w:b/>
          <w:bCs/>
        </w:rPr>
        <w:t xml:space="preserve">, e pelo seu regular processamento. </w:t>
      </w:r>
      <w:r w:rsidR="00804270">
        <w:rPr>
          <w:b/>
          <w:bCs/>
        </w:rPr>
        <w:t xml:space="preserve"> </w:t>
      </w:r>
    </w:p>
    <w:p w14:paraId="5CA41179" w14:textId="77777777" w:rsidR="00804270" w:rsidRDefault="00804270" w:rsidP="00002131">
      <w:pPr>
        <w:pStyle w:val="PargrafodaLista"/>
        <w:rPr>
          <w:b/>
          <w:bCs/>
        </w:rPr>
      </w:pPr>
    </w:p>
    <w:p w14:paraId="7CD0601B" w14:textId="77777777" w:rsidR="004A5355" w:rsidRDefault="004A5355" w:rsidP="004A5355">
      <w:r>
        <w:t>É o parecer,</w:t>
      </w:r>
    </w:p>
    <w:p w14:paraId="6C5A19AA" w14:textId="77777777" w:rsidR="004A5355" w:rsidRDefault="004A5355" w:rsidP="004A5355"/>
    <w:p w14:paraId="6B2672C4" w14:textId="77777777" w:rsidR="004A5355" w:rsidRDefault="004A5355" w:rsidP="004A5355"/>
    <w:p w14:paraId="3D0DBB3F" w14:textId="77777777" w:rsidR="004A5355" w:rsidRDefault="004A5355" w:rsidP="004A5355"/>
    <w:p w14:paraId="52D5250B" w14:textId="77777777" w:rsidR="004A5355" w:rsidRDefault="004A5355" w:rsidP="004A5355">
      <w:r>
        <w:tab/>
      </w:r>
      <w:r>
        <w:tab/>
      </w:r>
      <w:r>
        <w:tab/>
      </w:r>
      <w:r>
        <w:tab/>
        <w:t>Sérgio Moutinho</w:t>
      </w:r>
    </w:p>
    <w:p w14:paraId="7212D56F" w14:textId="55FB09EF" w:rsidR="00234942" w:rsidRPr="00002131" w:rsidRDefault="004A5355" w:rsidP="004A5355">
      <w:r>
        <w:tab/>
      </w:r>
      <w:r>
        <w:tab/>
      </w:r>
      <w:r>
        <w:tab/>
        <w:t>Procurador Geral do Legislativo</w:t>
      </w:r>
    </w:p>
    <w:sectPr w:rsidR="00234942" w:rsidRPr="0000213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1888" w14:textId="77777777" w:rsidR="009D6BD4" w:rsidRDefault="009D6BD4" w:rsidP="003C34B0">
      <w:pPr>
        <w:spacing w:after="0" w:line="240" w:lineRule="auto"/>
      </w:pPr>
      <w:r>
        <w:separator/>
      </w:r>
    </w:p>
  </w:endnote>
  <w:endnote w:type="continuationSeparator" w:id="0">
    <w:p w14:paraId="5CD6803F" w14:textId="77777777" w:rsidR="009D6BD4" w:rsidRDefault="009D6BD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9507" w14:textId="77777777" w:rsidR="003C34B0" w:rsidRDefault="003C34B0">
    <w:pPr>
      <w:pStyle w:val="Rodap"/>
    </w:pPr>
  </w:p>
  <w:p w14:paraId="6ED8F27A" w14:textId="77777777" w:rsidR="003C34B0" w:rsidRDefault="003C34B0">
    <w:pPr>
      <w:pStyle w:val="Rodap"/>
    </w:pPr>
  </w:p>
  <w:p w14:paraId="13DB275D" w14:textId="77777777" w:rsidR="003C34B0" w:rsidRDefault="003C34B0">
    <w:pPr>
      <w:pStyle w:val="Rodap"/>
    </w:pPr>
  </w:p>
  <w:p w14:paraId="5981C3C5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B2A0" w14:textId="77777777" w:rsidR="009D6BD4" w:rsidRDefault="009D6BD4" w:rsidP="003C34B0">
      <w:pPr>
        <w:spacing w:after="0" w:line="240" w:lineRule="auto"/>
      </w:pPr>
      <w:r>
        <w:separator/>
      </w:r>
    </w:p>
  </w:footnote>
  <w:footnote w:type="continuationSeparator" w:id="0">
    <w:p w14:paraId="695C523F" w14:textId="77777777" w:rsidR="009D6BD4" w:rsidRDefault="009D6BD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3837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57BE85" wp14:editId="7F34E0BC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96E2C" w14:textId="77777777" w:rsidR="003C34B0" w:rsidRDefault="003C34B0">
    <w:pPr>
      <w:pStyle w:val="Cabealho"/>
    </w:pPr>
  </w:p>
  <w:p w14:paraId="56845FCE" w14:textId="77777777" w:rsidR="003C34B0" w:rsidRDefault="003C34B0">
    <w:pPr>
      <w:pStyle w:val="Cabealho"/>
    </w:pPr>
  </w:p>
  <w:p w14:paraId="2F5C492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4B2AF96"/>
    <w:lvl w:ilvl="0">
      <w:start w:val="1"/>
      <w:numFmt w:val="decimal"/>
      <w:pStyle w:val="Numerada"/>
      <w:lvlText w:val="%1."/>
      <w:lvlJc w:val="left"/>
      <w:pPr>
        <w:ind w:left="360" w:hanging="360"/>
      </w:pPr>
    </w:lvl>
  </w:abstractNum>
  <w:abstractNum w:abstractNumId="1" w15:restartNumberingAfterBreak="0">
    <w:nsid w:val="3DA112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432967"/>
    <w:multiLevelType w:val="hybridMultilevel"/>
    <w:tmpl w:val="004E273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31"/>
    <w:rsid w:val="000015B9"/>
    <w:rsid w:val="00002131"/>
    <w:rsid w:val="000071C8"/>
    <w:rsid w:val="00037D19"/>
    <w:rsid w:val="000B5975"/>
    <w:rsid w:val="000C4F48"/>
    <w:rsid w:val="000D66B1"/>
    <w:rsid w:val="00180DDD"/>
    <w:rsid w:val="001A3CDF"/>
    <w:rsid w:val="001B4CCF"/>
    <w:rsid w:val="001D2F0B"/>
    <w:rsid w:val="001F6D7A"/>
    <w:rsid w:val="00204839"/>
    <w:rsid w:val="00226189"/>
    <w:rsid w:val="00232E52"/>
    <w:rsid w:val="00232E8E"/>
    <w:rsid w:val="00234942"/>
    <w:rsid w:val="00236C87"/>
    <w:rsid w:val="00244655"/>
    <w:rsid w:val="002918B9"/>
    <w:rsid w:val="002B049C"/>
    <w:rsid w:val="00304AFD"/>
    <w:rsid w:val="00327F9C"/>
    <w:rsid w:val="00340DF1"/>
    <w:rsid w:val="00353E47"/>
    <w:rsid w:val="00356B25"/>
    <w:rsid w:val="003B478D"/>
    <w:rsid w:val="003B7915"/>
    <w:rsid w:val="003C34B0"/>
    <w:rsid w:val="003D11CE"/>
    <w:rsid w:val="003F2E8C"/>
    <w:rsid w:val="00481FA3"/>
    <w:rsid w:val="004A5355"/>
    <w:rsid w:val="004C700D"/>
    <w:rsid w:val="004D5C89"/>
    <w:rsid w:val="006142C3"/>
    <w:rsid w:val="00651F3F"/>
    <w:rsid w:val="006870D9"/>
    <w:rsid w:val="006C6704"/>
    <w:rsid w:val="006F4093"/>
    <w:rsid w:val="00731620"/>
    <w:rsid w:val="007649FB"/>
    <w:rsid w:val="0078277F"/>
    <w:rsid w:val="00795D9F"/>
    <w:rsid w:val="007C1D7F"/>
    <w:rsid w:val="007C3598"/>
    <w:rsid w:val="00804270"/>
    <w:rsid w:val="008272FD"/>
    <w:rsid w:val="00847E26"/>
    <w:rsid w:val="008547D7"/>
    <w:rsid w:val="008965F6"/>
    <w:rsid w:val="008A42D2"/>
    <w:rsid w:val="00921C72"/>
    <w:rsid w:val="00942929"/>
    <w:rsid w:val="00945807"/>
    <w:rsid w:val="00972F4E"/>
    <w:rsid w:val="00994424"/>
    <w:rsid w:val="009973B5"/>
    <w:rsid w:val="009D5822"/>
    <w:rsid w:val="009D6BD4"/>
    <w:rsid w:val="009F099B"/>
    <w:rsid w:val="00A1529C"/>
    <w:rsid w:val="00A1663D"/>
    <w:rsid w:val="00A23890"/>
    <w:rsid w:val="00A337EA"/>
    <w:rsid w:val="00A7247B"/>
    <w:rsid w:val="00A91F37"/>
    <w:rsid w:val="00AB6010"/>
    <w:rsid w:val="00AC0DC5"/>
    <w:rsid w:val="00B00A8A"/>
    <w:rsid w:val="00B5009C"/>
    <w:rsid w:val="00BB28CE"/>
    <w:rsid w:val="00BE199D"/>
    <w:rsid w:val="00C06FC8"/>
    <w:rsid w:val="00C218F3"/>
    <w:rsid w:val="00C45CFA"/>
    <w:rsid w:val="00C50C0E"/>
    <w:rsid w:val="00C861C7"/>
    <w:rsid w:val="00CF286D"/>
    <w:rsid w:val="00D0009D"/>
    <w:rsid w:val="00D315E0"/>
    <w:rsid w:val="00D51A7D"/>
    <w:rsid w:val="00D72E37"/>
    <w:rsid w:val="00D749C0"/>
    <w:rsid w:val="00DF3899"/>
    <w:rsid w:val="00E20551"/>
    <w:rsid w:val="00E463F5"/>
    <w:rsid w:val="00E65DBD"/>
    <w:rsid w:val="00E817B3"/>
    <w:rsid w:val="00F20AE2"/>
    <w:rsid w:val="00F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C8751"/>
  <w15:chartTrackingRefBased/>
  <w15:docId w15:val="{8493CC5B-92A3-472B-9899-4A9A4B6E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31"/>
    <w:pPr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paragraph" w:styleId="Ttulo1">
    <w:name w:val="heading 1"/>
    <w:next w:val="Normal"/>
    <w:link w:val="Ttulo1Char"/>
    <w:uiPriority w:val="9"/>
    <w:qFormat/>
    <w:rsid w:val="00304AFD"/>
    <w:pPr>
      <w:jc w:val="both"/>
      <w:outlineLvl w:val="0"/>
    </w:pPr>
    <w:rPr>
      <w:rFonts w:ascii="Arial" w:hAnsi="Arial" w:cs="Iskoola Pota"/>
      <w:b/>
      <w:bCs/>
      <w:sz w:val="24"/>
      <w:u w:val="single" w:color="00B05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2FD"/>
    <w:pPr>
      <w:keepNext/>
      <w:keepLines/>
      <w:spacing w:before="40" w:after="0"/>
      <w:outlineLvl w:val="1"/>
    </w:pPr>
    <w:rPr>
      <w:rFonts w:ascii="Arial Narrow" w:hAnsi="Arial Narrow" w:cstheme="majorBidi"/>
      <w:b/>
      <w:bCs/>
      <w:color w:val="171717" w:themeColor="background2" w:themeShade="1A"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Data">
    <w:name w:val="Date"/>
    <w:basedOn w:val="Normal"/>
    <w:next w:val="Normal"/>
    <w:link w:val="DataChar"/>
    <w:uiPriority w:val="99"/>
    <w:unhideWhenUsed/>
    <w:rsid w:val="00232E8E"/>
  </w:style>
  <w:style w:type="character" w:customStyle="1" w:styleId="DataChar">
    <w:name w:val="Data Char"/>
    <w:basedOn w:val="Fontepargpadro"/>
    <w:link w:val="Data"/>
    <w:uiPriority w:val="99"/>
    <w:rsid w:val="00232E8E"/>
    <w:rPr>
      <w:rFonts w:ascii="Baguet Script" w:hAnsi="Baguet Script"/>
    </w:rPr>
  </w:style>
  <w:style w:type="paragraph" w:styleId="Ttulo">
    <w:name w:val="Title"/>
    <w:next w:val="Normal"/>
    <w:link w:val="TtuloChar"/>
    <w:uiPriority w:val="10"/>
    <w:qFormat/>
    <w:rsid w:val="00D72E37"/>
    <w:pPr>
      <w:jc w:val="right"/>
    </w:pPr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D72E37"/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paragraph" w:styleId="PargrafodaLista">
    <w:name w:val="List Paragraph"/>
    <w:basedOn w:val="Normal"/>
    <w:uiPriority w:val="34"/>
    <w:qFormat/>
    <w:rsid w:val="000D66B1"/>
    <w:pPr>
      <w:spacing w:after="0" w:line="240" w:lineRule="auto"/>
      <w:ind w:firstLine="1701"/>
      <w:contextualSpacing/>
    </w:pPr>
  </w:style>
  <w:style w:type="character" w:styleId="Forte">
    <w:name w:val="Strong"/>
    <w:basedOn w:val="Fontepargpadro"/>
    <w:uiPriority w:val="22"/>
    <w:qFormat/>
    <w:rsid w:val="008272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04AFD"/>
    <w:rPr>
      <w:rFonts w:ascii="Arial" w:hAnsi="Arial" w:cs="Iskoola Pota"/>
      <w:b/>
      <w:bCs/>
      <w:sz w:val="24"/>
      <w:u w:val="single" w:color="00B050"/>
    </w:rPr>
  </w:style>
  <w:style w:type="character" w:customStyle="1" w:styleId="Ttulo2Char">
    <w:name w:val="Título 2 Char"/>
    <w:basedOn w:val="Fontepargpadro"/>
    <w:link w:val="Ttulo2"/>
    <w:uiPriority w:val="9"/>
    <w:rsid w:val="008272FD"/>
    <w:rPr>
      <w:rFonts w:ascii="Arial Narrow" w:eastAsia="DejaVu Sans" w:hAnsi="Arial Narrow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character" w:styleId="Hyperlink">
    <w:name w:val="Hyperlink"/>
    <w:unhideWhenUsed/>
    <w:rsid w:val="008272FD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8272FD"/>
    <w:rPr>
      <w:rFonts w:ascii="Arial Narrow" w:hAnsi="Arial Narrow"/>
    </w:rPr>
  </w:style>
  <w:style w:type="character" w:customStyle="1" w:styleId="SubttuloChar">
    <w:name w:val="Subtítulo Char"/>
    <w:basedOn w:val="Fontepargpadro"/>
    <w:link w:val="Subttulo"/>
    <w:rsid w:val="008272FD"/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Citao">
    <w:name w:val="Quote"/>
    <w:basedOn w:val="Normal"/>
    <w:link w:val="CitaoChar"/>
    <w:uiPriority w:val="29"/>
    <w:qFormat/>
    <w:rsid w:val="00F20AE2"/>
    <w:pPr>
      <w:spacing w:before="200" w:after="0"/>
      <w:ind w:left="1843" w:right="140"/>
    </w:pPr>
    <w:rPr>
      <w:rFonts w:cs="Assistant"/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F20AE2"/>
    <w:rPr>
      <w:rFonts w:ascii="Assistant" w:eastAsia="DejaVu Sans" w:hAnsi="Assistant" w:cs="Assistant"/>
      <w:i/>
      <w:iCs/>
      <w:color w:val="404040" w:themeColor="text1" w:themeTint="BF"/>
      <w:kern w:val="2"/>
      <w:sz w:val="20"/>
      <w:szCs w:val="24"/>
    </w:rPr>
  </w:style>
  <w:style w:type="character" w:styleId="TtulodoLivro">
    <w:name w:val="Book Title"/>
    <w:uiPriority w:val="33"/>
    <w:qFormat/>
    <w:rsid w:val="008272FD"/>
  </w:style>
  <w:style w:type="paragraph" w:customStyle="1" w:styleId="Referncialegislativa">
    <w:name w:val="Referência legislativa"/>
    <w:basedOn w:val="Normal"/>
    <w:link w:val="ReferncialegislativaChar"/>
    <w:qFormat/>
    <w:rsid w:val="008272FD"/>
    <w:pPr>
      <w:spacing w:after="0" w:line="240" w:lineRule="auto"/>
      <w:ind w:left="2268"/>
    </w:pPr>
    <w:rPr>
      <w:color w:val="171717" w:themeColor="background2" w:themeShade="1A"/>
      <w:sz w:val="20"/>
    </w:rPr>
  </w:style>
  <w:style w:type="character" w:customStyle="1" w:styleId="ReferncialegislativaChar">
    <w:name w:val="Referência legislativa Char"/>
    <w:basedOn w:val="Fontepargpadro"/>
    <w:link w:val="Referncialegislativa"/>
    <w:rsid w:val="008272FD"/>
    <w:rPr>
      <w:rFonts w:ascii="Assistant" w:eastAsia="DejaVu Sans" w:hAnsi="Assistant" w:cs="Times New Roman"/>
      <w:color w:val="171717" w:themeColor="background2" w:themeShade="1A"/>
      <w:kern w:val="2"/>
      <w:sz w:val="20"/>
      <w:szCs w:val="24"/>
    </w:rPr>
  </w:style>
  <w:style w:type="paragraph" w:styleId="Numerada">
    <w:name w:val="List Number"/>
    <w:basedOn w:val="Normal"/>
    <w:uiPriority w:val="99"/>
    <w:rsid w:val="008A42D2"/>
    <w:pPr>
      <w:numPr>
        <w:numId w:val="2"/>
      </w:numPr>
      <w:spacing w:after="120" w:line="240" w:lineRule="auto"/>
      <w:contextualSpacing/>
    </w:pPr>
  </w:style>
  <w:style w:type="character" w:styleId="nfaseSutil">
    <w:name w:val="Subtle Emphasis"/>
    <w:basedOn w:val="Fontepargpadro"/>
    <w:uiPriority w:val="19"/>
    <w:qFormat/>
    <w:rsid w:val="00002131"/>
    <w:rPr>
      <w:i/>
      <w:iCs/>
      <w:color w:val="404040" w:themeColor="text1" w:themeTint="BF"/>
    </w:rPr>
  </w:style>
  <w:style w:type="paragraph" w:customStyle="1" w:styleId="Jurisprudncia">
    <w:name w:val="Jurisprudência"/>
    <w:basedOn w:val="SemEspaamento"/>
    <w:link w:val="JurisprudnciaChar"/>
    <w:qFormat/>
    <w:rsid w:val="00002131"/>
    <w:pPr>
      <w:ind w:left="2410"/>
    </w:pPr>
    <w:rPr>
      <w:rFonts w:eastAsiaTheme="minorHAnsi" w:cstheme="minorBidi"/>
      <w:bCs/>
      <w:color w:val="auto"/>
      <w:kern w:val="0"/>
      <w:sz w:val="20"/>
      <w:szCs w:val="22"/>
    </w:rPr>
  </w:style>
  <w:style w:type="character" w:customStyle="1" w:styleId="JurisprudnciaChar">
    <w:name w:val="Jurisprudência Char"/>
    <w:basedOn w:val="Fontepargpadro"/>
    <w:link w:val="Jurisprudncia"/>
    <w:rsid w:val="00002131"/>
    <w:rPr>
      <w:rFonts w:ascii="Avenir Next LT Pro" w:hAnsi="Avenir Next LT Pro"/>
      <w:bCs/>
      <w:sz w:val="20"/>
    </w:rPr>
  </w:style>
  <w:style w:type="character" w:customStyle="1" w:styleId="qowt-font5-calibri">
    <w:name w:val="qowt-font5-calibri"/>
    <w:basedOn w:val="Fontepargpadro"/>
    <w:rsid w:val="00002131"/>
  </w:style>
  <w:style w:type="paragraph" w:customStyle="1" w:styleId="x-scope">
    <w:name w:val="x-scope"/>
    <w:basedOn w:val="Normal"/>
    <w:rsid w:val="000021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eastAsia="pt-BR"/>
    </w:rPr>
  </w:style>
  <w:style w:type="character" w:customStyle="1" w:styleId="qowt-font2-timesnewroman">
    <w:name w:val="qowt-font2-timesnewroman"/>
    <w:basedOn w:val="Fontepargpadro"/>
    <w:rsid w:val="00002131"/>
  </w:style>
  <w:style w:type="paragraph" w:styleId="SemEspaamento">
    <w:name w:val="No Spacing"/>
    <w:uiPriority w:val="1"/>
    <w:qFormat/>
    <w:rsid w:val="00002131"/>
    <w:pPr>
      <w:spacing w:after="0" w:line="240" w:lineRule="auto"/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B4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amaraSeteLagoas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393F-A59C-4383-A8FB-41C6D745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CamaraSeteLagoas_Timbrado</Template>
  <TotalTime>0</TotalTime>
  <Pages>4</Pages>
  <Words>1490</Words>
  <Characters>8051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FLAVIO PIRES INCALADO</cp:lastModifiedBy>
  <cp:revision>2</cp:revision>
  <cp:lastPrinted>2024-01-22T12:38:00Z</cp:lastPrinted>
  <dcterms:created xsi:type="dcterms:W3CDTF">2024-01-22T16:48:00Z</dcterms:created>
  <dcterms:modified xsi:type="dcterms:W3CDTF">2024-01-22T16:48:00Z</dcterms:modified>
</cp:coreProperties>
</file>