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77F99" w14:textId="7313694A" w:rsidR="00902E40" w:rsidRPr="007A7078" w:rsidRDefault="00902E40" w:rsidP="00902E40">
      <w:pPr>
        <w:jc w:val="center"/>
        <w:rPr>
          <w:rFonts w:ascii="Tahoma" w:hAnsi="Tahoma" w:cs="Tahoma"/>
          <w:b/>
          <w:bCs/>
          <w:sz w:val="24"/>
          <w:szCs w:val="24"/>
          <w:u w:val="single"/>
        </w:rPr>
      </w:pPr>
      <w:bookmarkStart w:id="0" w:name="_GoBack"/>
      <w:bookmarkEnd w:id="0"/>
      <w:r w:rsidRPr="007A7078">
        <w:rPr>
          <w:rFonts w:ascii="Tahoma" w:hAnsi="Tahoma" w:cs="Tahoma"/>
          <w:b/>
          <w:bCs/>
          <w:sz w:val="24"/>
          <w:szCs w:val="24"/>
          <w:u w:val="single"/>
        </w:rPr>
        <w:t>COMISSÃO DE LEGISLAÇÃO E JUSTIÇA</w:t>
      </w:r>
    </w:p>
    <w:p w14:paraId="720F1AD0" w14:textId="77777777" w:rsidR="00902E40" w:rsidRPr="007A7078" w:rsidRDefault="00902E40" w:rsidP="00902E40">
      <w:pPr>
        <w:rPr>
          <w:rFonts w:ascii="Tahoma" w:hAnsi="Tahoma" w:cs="Tahoma"/>
          <w:sz w:val="24"/>
          <w:szCs w:val="24"/>
        </w:rPr>
      </w:pPr>
    </w:p>
    <w:p w14:paraId="0209CC5F" w14:textId="0B86AB26" w:rsidR="00902E40" w:rsidRPr="007A7078" w:rsidRDefault="00902E40" w:rsidP="00902E40">
      <w:pPr>
        <w:rPr>
          <w:rFonts w:ascii="Tahoma" w:hAnsi="Tahoma" w:cs="Tahoma"/>
          <w:sz w:val="24"/>
          <w:szCs w:val="24"/>
        </w:rPr>
      </w:pPr>
      <w:r w:rsidRPr="007A7078">
        <w:rPr>
          <w:rFonts w:ascii="Tahoma" w:hAnsi="Tahoma" w:cs="Tahoma"/>
          <w:b/>
          <w:bCs/>
          <w:sz w:val="24"/>
          <w:szCs w:val="24"/>
        </w:rPr>
        <w:t>Objeto</w:t>
      </w:r>
      <w:r w:rsidRPr="007A7078">
        <w:rPr>
          <w:rFonts w:ascii="Tahoma" w:hAnsi="Tahoma" w:cs="Tahoma"/>
          <w:sz w:val="24"/>
          <w:szCs w:val="24"/>
        </w:rPr>
        <w:t>: Parecer no Projeto de Lei 540 de 2023 que “Autoria a doação de terreno público à Caixa de Assistência dos Advogados de Minas Gerais e revoga a lei 9.471 de 15 de dezembro de 2022”.</w:t>
      </w:r>
    </w:p>
    <w:p w14:paraId="395AF45B" w14:textId="77777777" w:rsidR="00902E40" w:rsidRPr="007A7078" w:rsidRDefault="00902E40" w:rsidP="00902E40">
      <w:pPr>
        <w:rPr>
          <w:rFonts w:ascii="Tahoma" w:hAnsi="Tahoma" w:cs="Tahoma"/>
          <w:sz w:val="24"/>
          <w:szCs w:val="24"/>
        </w:rPr>
      </w:pPr>
    </w:p>
    <w:p w14:paraId="1B5119EA" w14:textId="7928431A" w:rsidR="00902E40" w:rsidRPr="007A7078" w:rsidRDefault="00902E40" w:rsidP="00902E40">
      <w:pPr>
        <w:rPr>
          <w:rFonts w:ascii="Tahoma" w:hAnsi="Tahoma" w:cs="Tahoma"/>
          <w:sz w:val="24"/>
          <w:szCs w:val="24"/>
        </w:rPr>
      </w:pPr>
      <w:r w:rsidRPr="007A7078">
        <w:rPr>
          <w:rFonts w:ascii="Tahoma" w:hAnsi="Tahoma" w:cs="Tahoma"/>
          <w:b/>
          <w:bCs/>
          <w:sz w:val="24"/>
          <w:szCs w:val="24"/>
        </w:rPr>
        <w:t>Autoria</w:t>
      </w:r>
      <w:r w:rsidRPr="007A7078">
        <w:rPr>
          <w:rFonts w:ascii="Tahoma" w:hAnsi="Tahoma" w:cs="Tahoma"/>
          <w:sz w:val="24"/>
          <w:szCs w:val="24"/>
        </w:rPr>
        <w:t>: Poder Executivo Municipal</w:t>
      </w:r>
    </w:p>
    <w:p w14:paraId="4A01368D" w14:textId="77777777" w:rsidR="00902E40" w:rsidRPr="007A7078" w:rsidRDefault="00902E40" w:rsidP="00902E40">
      <w:pPr>
        <w:rPr>
          <w:rFonts w:ascii="Tahoma" w:hAnsi="Tahoma" w:cs="Tahoma"/>
          <w:sz w:val="24"/>
          <w:szCs w:val="24"/>
        </w:rPr>
      </w:pPr>
    </w:p>
    <w:p w14:paraId="4B21B07E" w14:textId="6CDB8ABB" w:rsidR="00902E40" w:rsidRPr="007A7078" w:rsidRDefault="00902E40" w:rsidP="00902E40">
      <w:pPr>
        <w:jc w:val="center"/>
        <w:rPr>
          <w:rFonts w:ascii="Tahoma" w:hAnsi="Tahoma" w:cs="Tahoma"/>
          <w:b/>
          <w:bCs/>
          <w:sz w:val="24"/>
          <w:szCs w:val="24"/>
          <w:u w:val="single"/>
        </w:rPr>
      </w:pPr>
      <w:r w:rsidRPr="007A7078">
        <w:rPr>
          <w:rFonts w:ascii="Tahoma" w:hAnsi="Tahoma" w:cs="Tahoma"/>
          <w:b/>
          <w:bCs/>
          <w:sz w:val="24"/>
          <w:szCs w:val="24"/>
          <w:u w:val="single"/>
        </w:rPr>
        <w:t>FUNDAMENTAÇÃO</w:t>
      </w:r>
    </w:p>
    <w:p w14:paraId="2C92B933" w14:textId="77777777" w:rsidR="00902E40" w:rsidRPr="007A7078" w:rsidRDefault="00902E40" w:rsidP="00902E40">
      <w:pPr>
        <w:ind w:firstLine="2268"/>
        <w:jc w:val="both"/>
        <w:rPr>
          <w:rFonts w:ascii="Tahoma" w:hAnsi="Tahoma" w:cs="Tahoma"/>
          <w:sz w:val="24"/>
          <w:szCs w:val="24"/>
        </w:rPr>
      </w:pPr>
    </w:p>
    <w:p w14:paraId="3D883D99" w14:textId="4C1C6ECA" w:rsidR="00902E40" w:rsidRPr="007A7078" w:rsidRDefault="005D2228" w:rsidP="00902E40">
      <w:pPr>
        <w:ind w:firstLine="2268"/>
        <w:jc w:val="both"/>
        <w:rPr>
          <w:rFonts w:ascii="Tahoma" w:hAnsi="Tahoma" w:cs="Tahoma"/>
          <w:sz w:val="24"/>
          <w:szCs w:val="24"/>
        </w:rPr>
      </w:pPr>
      <w:r w:rsidRPr="007A7078">
        <w:rPr>
          <w:rFonts w:ascii="Tahoma" w:hAnsi="Tahoma" w:cs="Tahoma"/>
          <w:sz w:val="24"/>
          <w:szCs w:val="24"/>
        </w:rPr>
        <w:t xml:space="preserve">Trata-se de projeto de lei que objetiva </w:t>
      </w:r>
      <w:r w:rsidR="00902E40" w:rsidRPr="007A7078">
        <w:rPr>
          <w:rFonts w:ascii="Tahoma" w:hAnsi="Tahoma" w:cs="Tahoma"/>
          <w:sz w:val="24"/>
          <w:szCs w:val="24"/>
        </w:rPr>
        <w:t>a doação de imóvel pertencente ao Patrimônio Público Municipal à Caixa de Assistência dos Advogados de Minas Gerais, bem como a revogação da Lei nº 9.471, de 15 de dezembro de 2022 que “Outorga a concessão de Direito Real de Uso de terreno público à Ordem dos Advogados do Brasil Seção Minas Gerais”, devidamente acompanhada da Mensagem nº 120/2023 que a fundamenta.</w:t>
      </w:r>
    </w:p>
    <w:p w14:paraId="2EAFD945" w14:textId="0E43F809" w:rsidR="005D2228" w:rsidRPr="007A7078" w:rsidRDefault="005D2228" w:rsidP="005D2228">
      <w:pPr>
        <w:ind w:firstLine="2268"/>
        <w:jc w:val="both"/>
        <w:rPr>
          <w:rFonts w:ascii="Tahoma" w:eastAsia="Times New Roman" w:hAnsi="Tahoma" w:cs="Tahoma"/>
          <w:i/>
          <w:iCs/>
          <w:sz w:val="24"/>
          <w:szCs w:val="24"/>
          <w:lang w:eastAsia="pt-BR"/>
        </w:rPr>
      </w:pPr>
      <w:r w:rsidRPr="007A7078">
        <w:rPr>
          <w:rFonts w:ascii="Tahoma" w:hAnsi="Tahoma" w:cs="Tahoma"/>
          <w:sz w:val="24"/>
          <w:szCs w:val="24"/>
        </w:rPr>
        <w:t xml:space="preserve">Eis a </w:t>
      </w:r>
      <w:r w:rsidRPr="007A7078">
        <w:rPr>
          <w:rFonts w:ascii="Tahoma" w:hAnsi="Tahoma" w:cs="Tahoma"/>
          <w:b/>
          <w:bCs/>
          <w:sz w:val="24"/>
          <w:szCs w:val="24"/>
        </w:rPr>
        <w:t>justificativa</w:t>
      </w:r>
      <w:r w:rsidRPr="007A7078">
        <w:rPr>
          <w:rFonts w:ascii="Tahoma" w:hAnsi="Tahoma" w:cs="Tahoma"/>
          <w:sz w:val="24"/>
          <w:szCs w:val="24"/>
        </w:rPr>
        <w:t xml:space="preserve"> do </w:t>
      </w:r>
      <w:r w:rsidR="00902E40" w:rsidRPr="007A7078">
        <w:rPr>
          <w:rFonts w:ascii="Tahoma" w:hAnsi="Tahoma" w:cs="Tahoma"/>
          <w:sz w:val="24"/>
          <w:szCs w:val="24"/>
        </w:rPr>
        <w:t>Chefe do Executivo Municipal</w:t>
      </w:r>
      <w:r w:rsidRPr="007A7078">
        <w:rPr>
          <w:rFonts w:ascii="Tahoma" w:hAnsi="Tahoma" w:cs="Tahoma"/>
          <w:sz w:val="24"/>
          <w:szCs w:val="24"/>
        </w:rPr>
        <w:t>:</w:t>
      </w:r>
    </w:p>
    <w:p w14:paraId="2B2EF8DF" w14:textId="19BE96F2" w:rsidR="00902E40" w:rsidRPr="007A7078" w:rsidRDefault="005D2228" w:rsidP="00902E40">
      <w:pPr>
        <w:suppressAutoHyphens/>
        <w:spacing w:after="0" w:line="240" w:lineRule="auto"/>
        <w:ind w:firstLine="2268"/>
        <w:jc w:val="both"/>
        <w:rPr>
          <w:rFonts w:ascii="Tahoma" w:eastAsia="Times New Roman" w:hAnsi="Tahoma" w:cs="Tahoma"/>
          <w:i/>
          <w:iCs/>
          <w:sz w:val="24"/>
          <w:szCs w:val="24"/>
          <w:lang w:eastAsia="pt-BR"/>
        </w:rPr>
      </w:pPr>
      <w:r w:rsidRPr="007A7078">
        <w:rPr>
          <w:rFonts w:ascii="Tahoma" w:eastAsia="Times New Roman" w:hAnsi="Tahoma" w:cs="Tahoma"/>
          <w:i/>
          <w:iCs/>
          <w:sz w:val="24"/>
          <w:szCs w:val="24"/>
          <w:lang w:eastAsia="pt-BR"/>
        </w:rPr>
        <w:t xml:space="preserve">“Através da lei </w:t>
      </w:r>
      <w:proofErr w:type="spellStart"/>
      <w:r w:rsidR="00902E40" w:rsidRPr="007A7078">
        <w:rPr>
          <w:rFonts w:ascii="Tahoma" w:eastAsia="Times New Roman" w:hAnsi="Tahoma" w:cs="Tahoma"/>
          <w:i/>
          <w:iCs/>
          <w:sz w:val="24"/>
          <w:szCs w:val="24"/>
          <w:lang w:eastAsia="pt-BR"/>
        </w:rPr>
        <w:t>Lei</w:t>
      </w:r>
      <w:proofErr w:type="spellEnd"/>
      <w:r w:rsidR="00902E40" w:rsidRPr="007A7078">
        <w:rPr>
          <w:rFonts w:ascii="Tahoma" w:eastAsia="Times New Roman" w:hAnsi="Tahoma" w:cs="Tahoma"/>
          <w:i/>
          <w:iCs/>
          <w:sz w:val="24"/>
          <w:szCs w:val="24"/>
          <w:lang w:eastAsia="pt-BR"/>
        </w:rPr>
        <w:t xml:space="preserve"> nº 9.471, de 15 de dezembro de 2022, foi concedido o direito real de uso de uma área de terreno à 46ª Subseção da Ordem dos Advogados do Brasil, mas por um pedido do Dr. Adriano Cotta de Barros e Silva, Presidente desta Subseção, a lei anteriormente aprovada está sendo revogada para que seja efetuada a doação a </w:t>
      </w:r>
      <w:r w:rsidR="00902E40" w:rsidRPr="007A7078">
        <w:rPr>
          <w:rFonts w:ascii="Tahoma" w:hAnsi="Tahoma" w:cs="Tahoma"/>
          <w:bCs/>
          <w:i/>
          <w:iCs/>
          <w:sz w:val="24"/>
          <w:szCs w:val="24"/>
        </w:rPr>
        <w:t>Caixa de Assistência</w:t>
      </w:r>
      <w:r w:rsidR="00902E40" w:rsidRPr="007A7078">
        <w:rPr>
          <w:rFonts w:ascii="Tahoma" w:eastAsia="Times New Roman" w:hAnsi="Tahoma" w:cs="Tahoma"/>
          <w:i/>
          <w:iCs/>
          <w:sz w:val="24"/>
          <w:szCs w:val="24"/>
          <w:lang w:eastAsia="pt-BR"/>
        </w:rPr>
        <w:t xml:space="preserve"> </w:t>
      </w:r>
      <w:r w:rsidR="00902E40" w:rsidRPr="007A7078">
        <w:rPr>
          <w:rFonts w:ascii="Tahoma" w:hAnsi="Tahoma" w:cs="Tahoma"/>
          <w:bCs/>
          <w:i/>
          <w:iCs/>
          <w:sz w:val="24"/>
          <w:szCs w:val="24"/>
        </w:rPr>
        <w:t>dos Advogados de Minas Gerais</w:t>
      </w:r>
      <w:r w:rsidR="00902E40" w:rsidRPr="007A7078">
        <w:rPr>
          <w:rFonts w:ascii="Tahoma" w:eastAsia="Times New Roman" w:hAnsi="Tahoma" w:cs="Tahoma"/>
          <w:i/>
          <w:iCs/>
          <w:sz w:val="24"/>
          <w:szCs w:val="24"/>
          <w:lang w:eastAsia="pt-BR"/>
        </w:rPr>
        <w:t>, objetivando a construção da sede da Subseção Sete Lagoas.</w:t>
      </w:r>
    </w:p>
    <w:p w14:paraId="440E3D75" w14:textId="77777777" w:rsidR="00902E40" w:rsidRPr="007A7078" w:rsidRDefault="00902E40" w:rsidP="00902E40">
      <w:pPr>
        <w:spacing w:after="0" w:line="240" w:lineRule="auto"/>
        <w:ind w:firstLine="2268"/>
        <w:jc w:val="both"/>
        <w:rPr>
          <w:rFonts w:ascii="Tahoma" w:hAnsi="Tahoma" w:cs="Tahoma"/>
          <w:i/>
          <w:iCs/>
          <w:sz w:val="24"/>
          <w:szCs w:val="24"/>
        </w:rPr>
      </w:pPr>
    </w:p>
    <w:p w14:paraId="71587F0D" w14:textId="77777777" w:rsidR="00902E40" w:rsidRPr="007A7078" w:rsidRDefault="00902E40" w:rsidP="00902E40">
      <w:pPr>
        <w:spacing w:after="0" w:line="240" w:lineRule="auto"/>
        <w:ind w:firstLine="2268"/>
        <w:jc w:val="both"/>
        <w:rPr>
          <w:rFonts w:ascii="Tahoma" w:eastAsia="Times New Roman" w:hAnsi="Tahoma" w:cs="Tahoma"/>
          <w:i/>
          <w:iCs/>
          <w:sz w:val="24"/>
          <w:szCs w:val="24"/>
          <w:lang w:eastAsia="pt-BR"/>
        </w:rPr>
      </w:pPr>
      <w:r w:rsidRPr="007A7078">
        <w:rPr>
          <w:rFonts w:ascii="Tahoma" w:hAnsi="Tahoma" w:cs="Tahoma"/>
          <w:i/>
          <w:iCs/>
          <w:sz w:val="24"/>
          <w:szCs w:val="24"/>
        </w:rPr>
        <w:t xml:space="preserve">A </w:t>
      </w:r>
      <w:r w:rsidRPr="007A7078">
        <w:rPr>
          <w:rFonts w:ascii="Tahoma" w:eastAsia="Times New Roman" w:hAnsi="Tahoma" w:cs="Tahoma"/>
          <w:i/>
          <w:iCs/>
          <w:sz w:val="24"/>
          <w:szCs w:val="24"/>
          <w:lang w:eastAsia="pt-BR"/>
        </w:rPr>
        <w:t>Lei nº 9.471, de 15 de dezembro de 2022, outorgou a concessão de direito real de uso de uma área de terreno à Ordem dos Advogados do Brasil Seção Minas Gerais,</w:t>
      </w:r>
      <w:r w:rsidRPr="007A7078">
        <w:rPr>
          <w:rFonts w:ascii="Tahoma" w:hAnsi="Tahoma" w:cs="Tahoma"/>
          <w:i/>
          <w:iCs/>
          <w:sz w:val="24"/>
          <w:szCs w:val="24"/>
        </w:rPr>
        <w:t xml:space="preserve"> d</w:t>
      </w:r>
      <w:r w:rsidRPr="007A7078">
        <w:rPr>
          <w:rFonts w:ascii="Tahoma" w:eastAsia="Times New Roman" w:hAnsi="Tahoma" w:cs="Tahoma"/>
          <w:i/>
          <w:iCs/>
          <w:sz w:val="24"/>
          <w:szCs w:val="24"/>
          <w:lang w:eastAsia="pt-BR"/>
        </w:rPr>
        <w:t>a Área A1, medindo 4.286,88m², situada na Avenida Prefeito Alberto Moura, Bairro Distrito Industrial, de propriedade do Patrimônio Público do Município de Sete Lagoas, com os limites e confrontações constantes da Certidão de Registro Imobiliário, livro 2/RG, matrícula 47.316, do 1º Ofício de Registro de Imóveis desta Comarca.</w:t>
      </w:r>
    </w:p>
    <w:p w14:paraId="6B0F15D9" w14:textId="77777777" w:rsidR="00902E40" w:rsidRPr="007A7078" w:rsidRDefault="00902E40" w:rsidP="00902E40">
      <w:pPr>
        <w:pStyle w:val="SemEspaamento"/>
        <w:ind w:firstLine="2268"/>
        <w:jc w:val="both"/>
        <w:rPr>
          <w:rFonts w:ascii="Tahoma" w:hAnsi="Tahoma" w:cs="Tahoma"/>
          <w:i/>
          <w:iCs/>
          <w:sz w:val="24"/>
          <w:szCs w:val="24"/>
        </w:rPr>
      </w:pPr>
    </w:p>
    <w:p w14:paraId="3CC6170D" w14:textId="06BE9A56" w:rsidR="00902E40" w:rsidRPr="007A7078" w:rsidRDefault="00902E40" w:rsidP="00902E40">
      <w:pPr>
        <w:pStyle w:val="SemEspaamento"/>
        <w:ind w:firstLine="2268"/>
        <w:jc w:val="both"/>
        <w:rPr>
          <w:rFonts w:ascii="Tahoma" w:hAnsi="Tahoma" w:cs="Tahoma"/>
          <w:i/>
          <w:iCs/>
          <w:sz w:val="24"/>
          <w:szCs w:val="24"/>
        </w:rPr>
      </w:pPr>
      <w:r w:rsidRPr="007A7078">
        <w:rPr>
          <w:rFonts w:ascii="Tahoma" w:hAnsi="Tahoma" w:cs="Tahoma"/>
          <w:i/>
          <w:iCs/>
          <w:sz w:val="24"/>
          <w:szCs w:val="24"/>
        </w:rPr>
        <w:t xml:space="preserve">Ocorre que a </w:t>
      </w:r>
      <w:r w:rsidRPr="007A7078">
        <w:rPr>
          <w:rFonts w:ascii="Tahoma" w:hAnsi="Tahoma" w:cs="Tahoma"/>
          <w:bCs/>
          <w:i/>
          <w:iCs/>
          <w:sz w:val="24"/>
          <w:szCs w:val="24"/>
        </w:rPr>
        <w:t>Caixa de Assistência dos Advogados de Minas Gerais</w:t>
      </w:r>
      <w:r w:rsidRPr="007A7078">
        <w:rPr>
          <w:rFonts w:ascii="Tahoma" w:hAnsi="Tahoma" w:cs="Tahoma"/>
          <w:i/>
          <w:iCs/>
          <w:sz w:val="24"/>
          <w:szCs w:val="24"/>
        </w:rPr>
        <w:t xml:space="preserve"> ficará responsável pela execução da obra e pelo imóvel, sendo necessário revogar as disposições da Lei nº 9.471, de 15 de dezembro de 2022, e aprovar a presente proposição.</w:t>
      </w:r>
    </w:p>
    <w:p w14:paraId="166F12E2" w14:textId="77777777" w:rsidR="00902E40" w:rsidRPr="007A7078" w:rsidRDefault="00902E40" w:rsidP="00902E40">
      <w:pPr>
        <w:pStyle w:val="SemEspaamento"/>
        <w:ind w:firstLine="2268"/>
        <w:jc w:val="both"/>
        <w:rPr>
          <w:rFonts w:ascii="Tahoma" w:hAnsi="Tahoma" w:cs="Tahoma"/>
          <w:i/>
          <w:iCs/>
          <w:sz w:val="24"/>
          <w:szCs w:val="24"/>
        </w:rPr>
      </w:pPr>
    </w:p>
    <w:p w14:paraId="3E3434AE" w14:textId="77777777" w:rsidR="00902E40" w:rsidRPr="007A7078" w:rsidRDefault="00902E40" w:rsidP="00902E40">
      <w:pPr>
        <w:pStyle w:val="SemEspaamento"/>
        <w:ind w:firstLine="2268"/>
        <w:jc w:val="both"/>
        <w:rPr>
          <w:rFonts w:ascii="Tahoma" w:hAnsi="Tahoma" w:cs="Tahoma"/>
          <w:i/>
          <w:iCs/>
          <w:sz w:val="24"/>
          <w:szCs w:val="24"/>
        </w:rPr>
      </w:pPr>
      <w:r w:rsidRPr="007A7078">
        <w:rPr>
          <w:rFonts w:ascii="Tahoma" w:hAnsi="Tahoma" w:cs="Tahoma"/>
          <w:i/>
          <w:iCs/>
          <w:sz w:val="24"/>
          <w:szCs w:val="24"/>
        </w:rPr>
        <w:t>Ressalta-se novamente que o presente pleito visa atender a um antigo pleito da 46ª Subseção da OAB, que busca um imóvel adequado para construção de uma sede que contemple e amplie o alcance das atividades dessa instituição.”</w:t>
      </w:r>
    </w:p>
    <w:p w14:paraId="73D5C31C" w14:textId="77777777" w:rsidR="00902E40" w:rsidRPr="007A7078" w:rsidRDefault="00902E40" w:rsidP="00902E40">
      <w:pPr>
        <w:ind w:firstLine="2268"/>
        <w:jc w:val="both"/>
        <w:rPr>
          <w:rFonts w:ascii="Tahoma" w:hAnsi="Tahoma" w:cs="Tahoma"/>
          <w:sz w:val="24"/>
          <w:szCs w:val="24"/>
        </w:rPr>
      </w:pPr>
    </w:p>
    <w:p w14:paraId="34AE596B" w14:textId="77777777" w:rsidR="005A64D7" w:rsidRPr="007A7078" w:rsidRDefault="005A64D7" w:rsidP="00902E40">
      <w:pPr>
        <w:ind w:firstLine="2268"/>
        <w:jc w:val="both"/>
        <w:rPr>
          <w:rFonts w:ascii="Tahoma" w:hAnsi="Tahoma" w:cs="Tahoma"/>
          <w:sz w:val="24"/>
          <w:szCs w:val="24"/>
        </w:rPr>
      </w:pPr>
    </w:p>
    <w:p w14:paraId="38A3001C" w14:textId="51212F87" w:rsidR="005A64D7" w:rsidRPr="007A7078" w:rsidRDefault="007C34D1" w:rsidP="00902E40">
      <w:pPr>
        <w:ind w:firstLine="2268"/>
        <w:jc w:val="both"/>
        <w:rPr>
          <w:rFonts w:ascii="Tahoma" w:hAnsi="Tahoma" w:cs="Tahoma"/>
          <w:sz w:val="24"/>
          <w:szCs w:val="24"/>
        </w:rPr>
      </w:pPr>
      <w:r w:rsidRPr="007A7078">
        <w:rPr>
          <w:rFonts w:ascii="Tahoma" w:hAnsi="Tahoma" w:cs="Tahoma"/>
          <w:sz w:val="24"/>
          <w:szCs w:val="24"/>
        </w:rPr>
        <w:t>Reza o artigo 99, alínea “c” do Código Civil que os bens dominicais constituem patrimônio das pessoas jurídicas de direito público, como objeto de direito pessoal, ou real, de cada uma dessas entidades.</w:t>
      </w:r>
    </w:p>
    <w:p w14:paraId="25478E01" w14:textId="12BDBCB8" w:rsidR="007C34D1" w:rsidRPr="007A7078" w:rsidRDefault="0017507F" w:rsidP="00902E40">
      <w:pPr>
        <w:ind w:firstLine="2268"/>
        <w:jc w:val="both"/>
        <w:rPr>
          <w:rFonts w:ascii="Tahoma" w:hAnsi="Tahoma" w:cs="Tahoma"/>
          <w:sz w:val="24"/>
          <w:szCs w:val="24"/>
        </w:rPr>
      </w:pPr>
      <w:r w:rsidRPr="007A7078">
        <w:rPr>
          <w:rFonts w:ascii="Tahoma" w:hAnsi="Tahoma" w:cs="Tahoma"/>
          <w:sz w:val="24"/>
          <w:szCs w:val="24"/>
        </w:rPr>
        <w:lastRenderedPageBreak/>
        <w:t>Os bens dominicais podem ser objeto de alienação, conforme a regra do artigo 101 do Código Civil.</w:t>
      </w:r>
    </w:p>
    <w:p w14:paraId="6AAB0972" w14:textId="1FA92FFF" w:rsidR="00902E40" w:rsidRPr="007A7078" w:rsidRDefault="00902E40" w:rsidP="00902E40">
      <w:pPr>
        <w:ind w:firstLine="2268"/>
        <w:jc w:val="both"/>
        <w:rPr>
          <w:rFonts w:ascii="Tahoma" w:hAnsi="Tahoma" w:cs="Tahoma"/>
          <w:sz w:val="24"/>
          <w:szCs w:val="24"/>
        </w:rPr>
      </w:pPr>
      <w:r w:rsidRPr="007A7078">
        <w:rPr>
          <w:rFonts w:ascii="Tahoma" w:hAnsi="Tahoma" w:cs="Tahoma"/>
          <w:sz w:val="24"/>
          <w:szCs w:val="24"/>
        </w:rPr>
        <w:t>A doação é um instituto de direito privado que observa as regras do Código Civil Brasileiro (CCB), prevendo, expressamente, a obrigatoriedade do cumprimento do encargo, caso exista, e a possibilidade de reversão do bem doado, em sendo o imóvel público.</w:t>
      </w:r>
    </w:p>
    <w:p w14:paraId="4843BAAD" w14:textId="6A006C14" w:rsidR="00902E40" w:rsidRPr="007A7078" w:rsidRDefault="00902E40" w:rsidP="00902E40">
      <w:pPr>
        <w:ind w:firstLine="2268"/>
        <w:jc w:val="both"/>
        <w:rPr>
          <w:rFonts w:ascii="Tahoma" w:hAnsi="Tahoma" w:cs="Tahoma"/>
          <w:sz w:val="24"/>
          <w:szCs w:val="24"/>
        </w:rPr>
      </w:pPr>
      <w:r w:rsidRPr="007A7078">
        <w:rPr>
          <w:rFonts w:ascii="Tahoma" w:hAnsi="Tahoma" w:cs="Tahoma"/>
          <w:sz w:val="24"/>
          <w:szCs w:val="24"/>
        </w:rPr>
        <w:t xml:space="preserve">A doação de imóvel pertencente ao patrimônio público é ato administrativo de competência do Chefe do Executivo. </w:t>
      </w:r>
    </w:p>
    <w:p w14:paraId="483CE382" w14:textId="77777777" w:rsidR="00765240" w:rsidRPr="007A7078" w:rsidRDefault="00383ECC" w:rsidP="00902E40">
      <w:pPr>
        <w:ind w:firstLine="2268"/>
        <w:jc w:val="both"/>
        <w:rPr>
          <w:rFonts w:ascii="Tahoma" w:hAnsi="Tahoma" w:cs="Tahoma"/>
          <w:sz w:val="24"/>
          <w:szCs w:val="24"/>
        </w:rPr>
      </w:pPr>
      <w:r w:rsidRPr="007A7078">
        <w:rPr>
          <w:rFonts w:ascii="Tahoma" w:hAnsi="Tahoma" w:cs="Tahoma"/>
          <w:sz w:val="24"/>
          <w:szCs w:val="24"/>
        </w:rPr>
        <w:t>Em relação aos bens imóveis é necessária que seja feita a autorização legislativa</w:t>
      </w:r>
      <w:r w:rsidR="00765240" w:rsidRPr="007A7078">
        <w:rPr>
          <w:rFonts w:ascii="Tahoma" w:hAnsi="Tahoma" w:cs="Tahoma"/>
          <w:sz w:val="24"/>
          <w:szCs w:val="24"/>
        </w:rPr>
        <w:t xml:space="preserve"> e que haja a existência de interesse público devidamente justificado.</w:t>
      </w:r>
    </w:p>
    <w:p w14:paraId="444B88C1" w14:textId="61B3A3C8" w:rsidR="00383ECC" w:rsidRPr="007A7078" w:rsidRDefault="00765240" w:rsidP="00902E40">
      <w:pPr>
        <w:ind w:firstLine="2268"/>
        <w:jc w:val="both"/>
        <w:rPr>
          <w:rFonts w:ascii="Tahoma" w:hAnsi="Tahoma" w:cs="Tahoma"/>
          <w:sz w:val="24"/>
          <w:szCs w:val="24"/>
        </w:rPr>
      </w:pPr>
      <w:r w:rsidRPr="007A7078">
        <w:rPr>
          <w:rFonts w:ascii="Tahoma" w:hAnsi="Tahoma" w:cs="Tahoma"/>
          <w:sz w:val="24"/>
          <w:szCs w:val="24"/>
        </w:rPr>
        <w:t>A licitação pode ser dispensada</w:t>
      </w:r>
      <w:r w:rsidR="004861FD" w:rsidRPr="007A7078">
        <w:rPr>
          <w:rFonts w:ascii="Tahoma" w:hAnsi="Tahoma" w:cs="Tahoma"/>
          <w:sz w:val="24"/>
          <w:szCs w:val="24"/>
        </w:rPr>
        <w:t>.</w:t>
      </w:r>
    </w:p>
    <w:p w14:paraId="695D6D71" w14:textId="455C144D" w:rsidR="00902E40" w:rsidRPr="007A7078" w:rsidRDefault="00902E40" w:rsidP="00902E40">
      <w:pPr>
        <w:ind w:firstLine="2268"/>
        <w:jc w:val="both"/>
        <w:rPr>
          <w:rFonts w:ascii="Tahoma" w:eastAsia="DejaVu Sans" w:hAnsi="Tahoma" w:cs="Tahoma"/>
          <w:kern w:val="2"/>
          <w:sz w:val="24"/>
          <w:szCs w:val="24"/>
        </w:rPr>
      </w:pPr>
      <w:r w:rsidRPr="007A7078">
        <w:rPr>
          <w:rFonts w:ascii="Tahoma" w:eastAsia="DejaVu Sans" w:hAnsi="Tahoma" w:cs="Tahoma"/>
          <w:kern w:val="2"/>
          <w:sz w:val="24"/>
          <w:szCs w:val="24"/>
        </w:rPr>
        <w:t>Disciplinando a doação de bem pertencente ao Patrimônio Público Municipal tem-se o § 4º e inciso I, “b” do art. 17 da Lei nº 8.666/93 (Lei de Licitações) c/c art. 23, I, “a” e o art. 26 da Lei Orgânica do Município</w:t>
      </w:r>
      <w:r w:rsidR="00167773">
        <w:rPr>
          <w:rFonts w:ascii="Tahoma" w:eastAsia="DejaVu Sans" w:hAnsi="Tahoma" w:cs="Tahoma"/>
          <w:kern w:val="2"/>
          <w:sz w:val="24"/>
          <w:szCs w:val="24"/>
        </w:rPr>
        <w:t>,</w:t>
      </w:r>
      <w:r w:rsidRPr="007A7078">
        <w:rPr>
          <w:rFonts w:ascii="Tahoma" w:eastAsia="DejaVu Sans" w:hAnsi="Tahoma" w:cs="Tahoma"/>
          <w:kern w:val="2"/>
          <w:sz w:val="24"/>
          <w:szCs w:val="24"/>
        </w:rPr>
        <w:t xml:space="preserve"> que dispensam o procedimento licitatório para o caso de doação de bem público municipal com encargo, mas exigem, em suma, a existência de interesse público justificado, avaliação prévia, encargos a serem cumpridos pelo donatário, prazo de cumprimento e cláusula de revers</w:t>
      </w:r>
      <w:r w:rsidR="004861FD" w:rsidRPr="007A7078">
        <w:rPr>
          <w:rFonts w:ascii="Tahoma" w:eastAsia="DejaVu Sans" w:hAnsi="Tahoma" w:cs="Tahoma"/>
          <w:kern w:val="2"/>
          <w:sz w:val="24"/>
          <w:szCs w:val="24"/>
        </w:rPr>
        <w:t>ão</w:t>
      </w:r>
      <w:r w:rsidRPr="007A7078">
        <w:rPr>
          <w:rFonts w:ascii="Tahoma" w:eastAsia="DejaVu Sans" w:hAnsi="Tahoma" w:cs="Tahoma"/>
          <w:kern w:val="2"/>
          <w:sz w:val="24"/>
          <w:szCs w:val="24"/>
        </w:rPr>
        <w:t xml:space="preserve"> do imóvel.</w:t>
      </w:r>
    </w:p>
    <w:p w14:paraId="403C65C9" w14:textId="77777777" w:rsidR="00902E40" w:rsidRPr="007A7078" w:rsidRDefault="00902E40" w:rsidP="00902E40">
      <w:pPr>
        <w:ind w:firstLine="2295"/>
        <w:jc w:val="both"/>
        <w:rPr>
          <w:rFonts w:ascii="Tahoma" w:eastAsia="DejaVu Sans" w:hAnsi="Tahoma" w:cs="Tahoma"/>
          <w:kern w:val="2"/>
          <w:sz w:val="24"/>
          <w:szCs w:val="24"/>
        </w:rPr>
      </w:pPr>
      <w:r w:rsidRPr="007A7078">
        <w:rPr>
          <w:rFonts w:ascii="Tahoma" w:eastAsia="DejaVu Sans" w:hAnsi="Tahoma" w:cs="Tahoma"/>
          <w:kern w:val="2"/>
          <w:sz w:val="24"/>
          <w:szCs w:val="24"/>
        </w:rPr>
        <w:t xml:space="preserve"> Quanto à existência de interesse público existente na doação proposta, mencione-se que a OAB-Ordem dos Advogados do Brasil é instituição pública e autônoma, criada em 1930, com o objetivo inicial de proteção e fiscalização dos advogados. Com o passar dos anos, sua finalidade evoluiu no sentido de colaborar com a proteção da Constituição Federal e integrar um dos pilares de sustentação do Poder Judiciário.</w:t>
      </w:r>
    </w:p>
    <w:p w14:paraId="6819B2C6" w14:textId="77777777" w:rsidR="00902E40" w:rsidRPr="007A7078" w:rsidRDefault="00902E40" w:rsidP="00902E40">
      <w:pPr>
        <w:ind w:firstLine="2295"/>
        <w:jc w:val="both"/>
        <w:rPr>
          <w:rFonts w:ascii="Tahoma" w:eastAsia="DejaVu Sans" w:hAnsi="Tahoma" w:cs="Tahoma"/>
          <w:kern w:val="2"/>
          <w:sz w:val="24"/>
          <w:szCs w:val="24"/>
        </w:rPr>
      </w:pPr>
      <w:r w:rsidRPr="007A7078">
        <w:rPr>
          <w:rFonts w:ascii="Tahoma" w:eastAsia="DejaVu Sans" w:hAnsi="Tahoma" w:cs="Tahoma"/>
          <w:kern w:val="2"/>
          <w:sz w:val="24"/>
          <w:szCs w:val="24"/>
        </w:rPr>
        <w:t>Nos termos da Constituição Federal de 1988, em sintonia com a garantia fundamental de ampla defesa e contraditório aos litigantes, com os meios e recursos a ela inerentes estabeleceu-se:</w:t>
      </w:r>
    </w:p>
    <w:p w14:paraId="3CEC3F34" w14:textId="77777777" w:rsidR="00902E40" w:rsidRPr="007A7078" w:rsidRDefault="00902E40" w:rsidP="00902E40">
      <w:pPr>
        <w:ind w:firstLine="2295"/>
        <w:jc w:val="both"/>
        <w:rPr>
          <w:rFonts w:ascii="Tahoma" w:eastAsia="DejaVu Sans" w:hAnsi="Tahoma" w:cs="Tahoma"/>
          <w:i/>
          <w:iCs/>
          <w:kern w:val="2"/>
          <w:sz w:val="24"/>
          <w:szCs w:val="24"/>
        </w:rPr>
      </w:pPr>
      <w:r w:rsidRPr="007A7078">
        <w:rPr>
          <w:rFonts w:ascii="Tahoma" w:eastAsia="DejaVu Sans" w:hAnsi="Tahoma" w:cs="Tahoma"/>
          <w:i/>
          <w:iCs/>
          <w:kern w:val="2"/>
          <w:sz w:val="24"/>
          <w:szCs w:val="24"/>
        </w:rPr>
        <w:t>“Art. 133. O advogado é indispensável à administração da Justiça, sendo inviolável por seus atos e manifestações no exercício da profissão, nos limites da lei.”</w:t>
      </w:r>
    </w:p>
    <w:p w14:paraId="4E418F99" w14:textId="77777777" w:rsidR="00902E40" w:rsidRPr="007A7078" w:rsidRDefault="00902E40" w:rsidP="00902E40">
      <w:pPr>
        <w:ind w:firstLine="2295"/>
        <w:jc w:val="both"/>
        <w:rPr>
          <w:rFonts w:ascii="Tahoma" w:eastAsia="DejaVu Sans" w:hAnsi="Tahoma" w:cs="Tahoma"/>
          <w:kern w:val="2"/>
          <w:sz w:val="24"/>
          <w:szCs w:val="24"/>
        </w:rPr>
      </w:pPr>
      <w:r w:rsidRPr="007A7078">
        <w:rPr>
          <w:rFonts w:ascii="Tahoma" w:eastAsia="DejaVu Sans" w:hAnsi="Tahoma" w:cs="Tahoma"/>
          <w:kern w:val="2"/>
          <w:sz w:val="24"/>
          <w:szCs w:val="24"/>
        </w:rPr>
        <w:t>Na mesma linha de garantias, a Constituição Federal, ao definir a estrutura e funcionamento do Poder Judiciário, exige a participação da OAB em todas as fases dos concursos para ingresso na magistratura; habilita seu Conselho Federal como uma das entidades autorizadas à propositura da Ação Direta de Inconstitucionalidade e Ação Declaratória de Constitucionalidade, além de ser uma entidade integrante do Conselho Nacional de Justiça, dentre outras relevantes funções constitucionais.</w:t>
      </w:r>
    </w:p>
    <w:p w14:paraId="442EB507" w14:textId="77777777" w:rsidR="00902E40" w:rsidRPr="007A7078" w:rsidRDefault="00902E40" w:rsidP="00902E40">
      <w:pPr>
        <w:ind w:firstLine="2295"/>
        <w:jc w:val="both"/>
        <w:rPr>
          <w:rFonts w:ascii="Tahoma" w:eastAsia="DejaVu Sans" w:hAnsi="Tahoma" w:cs="Tahoma"/>
          <w:kern w:val="2"/>
          <w:sz w:val="24"/>
          <w:szCs w:val="24"/>
        </w:rPr>
      </w:pPr>
      <w:r w:rsidRPr="007A7078">
        <w:rPr>
          <w:rFonts w:ascii="Tahoma" w:eastAsia="DejaVu Sans" w:hAnsi="Tahoma" w:cs="Tahoma"/>
          <w:kern w:val="2"/>
          <w:sz w:val="24"/>
          <w:szCs w:val="24"/>
        </w:rPr>
        <w:t>A Lei Federal nº 8.906/94 define a OAB como entidade de serviço público, dotada de personalidade jurídica e forma federativa, com finalidade de defender a Constituição, a ordem jurídica do Estado Democrático de Direito, os direitos humanos, a justiça social e pugnar pela boa aplicação das leis, pela rápida administração da Justiça e pelo aperfeiçoamento da cultura e das instituições jurídicas.</w:t>
      </w:r>
    </w:p>
    <w:p w14:paraId="2349378B" w14:textId="77777777" w:rsidR="004861FD" w:rsidRPr="007A7078" w:rsidRDefault="00902E40" w:rsidP="00902E40">
      <w:pPr>
        <w:ind w:firstLine="2295"/>
        <w:jc w:val="both"/>
        <w:rPr>
          <w:rFonts w:ascii="Tahoma" w:eastAsia="DejaVu Sans" w:hAnsi="Tahoma" w:cs="Tahoma"/>
          <w:kern w:val="2"/>
          <w:sz w:val="24"/>
          <w:szCs w:val="24"/>
        </w:rPr>
      </w:pPr>
      <w:r w:rsidRPr="007A7078">
        <w:rPr>
          <w:rFonts w:ascii="Tahoma" w:eastAsia="DejaVu Sans" w:hAnsi="Tahoma" w:cs="Tahoma"/>
          <w:kern w:val="2"/>
          <w:sz w:val="24"/>
          <w:szCs w:val="24"/>
        </w:rPr>
        <w:t xml:space="preserve">A Caixa de Assistência dos Advogados de Minas Gerais – CAA/MG é um órgão da Ordem dos Advogados do Brasil Secção Minas Gerais (OAB/MG), destinando-se a prestar assistência aos inscritos no Conselho Seccional da OAB/MG, tais como auxílios e benefícios, isenções de anuidades e apoio ao exercício da advocacia e ao bem-estar social dos inscritos na OAB/MG. </w:t>
      </w:r>
    </w:p>
    <w:p w14:paraId="4EE39C38" w14:textId="4AE48ECF" w:rsidR="00902E40" w:rsidRPr="007A7078" w:rsidRDefault="00902E40" w:rsidP="00902E40">
      <w:pPr>
        <w:ind w:firstLine="2295"/>
        <w:jc w:val="both"/>
        <w:rPr>
          <w:rFonts w:ascii="Tahoma" w:eastAsia="DejaVu Sans" w:hAnsi="Tahoma" w:cs="Tahoma"/>
          <w:kern w:val="2"/>
          <w:sz w:val="24"/>
          <w:szCs w:val="24"/>
        </w:rPr>
      </w:pPr>
      <w:r w:rsidRPr="007A7078">
        <w:rPr>
          <w:rFonts w:ascii="Tahoma" w:eastAsia="DejaVu Sans" w:hAnsi="Tahoma" w:cs="Tahoma"/>
          <w:kern w:val="2"/>
          <w:sz w:val="24"/>
          <w:szCs w:val="24"/>
        </w:rPr>
        <w:lastRenderedPageBreak/>
        <w:t>A doação deverá ser outorgada à CAA/MG que será a responsável pela</w:t>
      </w:r>
      <w:r w:rsidR="004861FD" w:rsidRPr="007A7078">
        <w:rPr>
          <w:rFonts w:ascii="Tahoma" w:eastAsia="DejaVu Sans" w:hAnsi="Tahoma" w:cs="Tahoma"/>
          <w:kern w:val="2"/>
          <w:sz w:val="24"/>
          <w:szCs w:val="24"/>
        </w:rPr>
        <w:t>s</w:t>
      </w:r>
      <w:r w:rsidRPr="007A7078">
        <w:rPr>
          <w:rFonts w:ascii="Tahoma" w:eastAsia="DejaVu Sans" w:hAnsi="Tahoma" w:cs="Tahoma"/>
          <w:kern w:val="2"/>
          <w:sz w:val="24"/>
          <w:szCs w:val="24"/>
        </w:rPr>
        <w:t xml:space="preserve"> obras de edificação da nova sede da 46ª Subseção da OAB, conforme ofício datado de 04/12/2023</w:t>
      </w:r>
      <w:r w:rsidR="004861FD" w:rsidRPr="007A7078">
        <w:rPr>
          <w:rFonts w:ascii="Tahoma" w:eastAsia="DejaVu Sans" w:hAnsi="Tahoma" w:cs="Tahoma"/>
          <w:kern w:val="2"/>
          <w:sz w:val="24"/>
          <w:szCs w:val="24"/>
        </w:rPr>
        <w:t>,</w:t>
      </w:r>
      <w:r w:rsidRPr="007A7078">
        <w:rPr>
          <w:rFonts w:ascii="Tahoma" w:eastAsia="DejaVu Sans" w:hAnsi="Tahoma" w:cs="Tahoma"/>
          <w:kern w:val="2"/>
          <w:sz w:val="24"/>
          <w:szCs w:val="24"/>
        </w:rPr>
        <w:t xml:space="preserve"> anexo à proposição.</w:t>
      </w:r>
    </w:p>
    <w:p w14:paraId="0CECDF8C" w14:textId="77777777" w:rsidR="00902E40" w:rsidRPr="007A7078" w:rsidRDefault="00902E40" w:rsidP="00902E40">
      <w:pPr>
        <w:ind w:firstLine="2295"/>
        <w:jc w:val="both"/>
        <w:rPr>
          <w:rFonts w:ascii="Tahoma" w:eastAsia="DejaVu Sans" w:hAnsi="Tahoma" w:cs="Tahoma"/>
          <w:kern w:val="2"/>
          <w:sz w:val="24"/>
          <w:szCs w:val="24"/>
        </w:rPr>
      </w:pPr>
      <w:r w:rsidRPr="007A7078">
        <w:rPr>
          <w:rFonts w:ascii="Tahoma" w:eastAsia="DejaVu Sans" w:hAnsi="Tahoma" w:cs="Tahoma"/>
          <w:kern w:val="2"/>
          <w:sz w:val="24"/>
          <w:szCs w:val="24"/>
        </w:rPr>
        <w:t xml:space="preserve">Caberá aos senhores edis o juízo quanto a existência de interesse público na doação pretendida.  </w:t>
      </w:r>
    </w:p>
    <w:p w14:paraId="7648B11B" w14:textId="1A26D04D" w:rsidR="00902E40" w:rsidRPr="007A7078" w:rsidRDefault="00902E40" w:rsidP="00902E40">
      <w:pPr>
        <w:ind w:firstLine="2295"/>
        <w:jc w:val="both"/>
        <w:rPr>
          <w:rFonts w:ascii="Tahoma" w:eastAsia="DejaVu Sans" w:hAnsi="Tahoma" w:cs="Tahoma"/>
          <w:kern w:val="2"/>
          <w:sz w:val="24"/>
          <w:szCs w:val="24"/>
        </w:rPr>
      </w:pPr>
      <w:r w:rsidRPr="007A7078">
        <w:rPr>
          <w:rFonts w:ascii="Tahoma" w:eastAsia="DejaVu Sans" w:hAnsi="Tahoma" w:cs="Tahoma"/>
          <w:kern w:val="2"/>
          <w:sz w:val="24"/>
          <w:szCs w:val="24"/>
        </w:rPr>
        <w:t>A avaliação prévia do imóvel a ser doado encontra-se anexa à propositura. Os encargos a serem cumpridos pela donatária, bem como o prazo de cumprimento e cláusula de retrocessão do imóvel são os constantes do art. 2º da proposição, conforme exigência da Lei Orgânica do Município de Sete Lagoas.</w:t>
      </w:r>
    </w:p>
    <w:p w14:paraId="5DBF624D" w14:textId="77777777" w:rsidR="00902E40" w:rsidRPr="007A7078" w:rsidRDefault="00902E40" w:rsidP="00902E40">
      <w:pPr>
        <w:ind w:firstLine="2295"/>
        <w:jc w:val="both"/>
        <w:rPr>
          <w:rFonts w:ascii="Tahoma" w:eastAsia="DejaVu Sans" w:hAnsi="Tahoma" w:cs="Tahoma"/>
          <w:kern w:val="2"/>
          <w:sz w:val="24"/>
          <w:szCs w:val="24"/>
        </w:rPr>
      </w:pPr>
      <w:r w:rsidRPr="007A7078">
        <w:rPr>
          <w:rFonts w:ascii="Tahoma" w:eastAsia="DejaVu Sans" w:hAnsi="Tahoma" w:cs="Tahoma"/>
          <w:kern w:val="2"/>
          <w:sz w:val="24"/>
          <w:szCs w:val="24"/>
        </w:rPr>
        <w:t>Integra ainda a documentação instrutória do projeto a escritura pública comprobatória de que o Município de Sete Lagoas é atualmente o proprietário do imóvel a ser doado.</w:t>
      </w:r>
    </w:p>
    <w:p w14:paraId="122B09CE" w14:textId="77777777" w:rsidR="00902E40" w:rsidRPr="007A7078" w:rsidRDefault="00902E40" w:rsidP="00902E40">
      <w:pPr>
        <w:ind w:firstLine="2295"/>
        <w:jc w:val="both"/>
        <w:rPr>
          <w:rFonts w:ascii="Tahoma" w:eastAsia="DejaVu Sans" w:hAnsi="Tahoma" w:cs="Tahoma"/>
          <w:kern w:val="2"/>
          <w:sz w:val="24"/>
          <w:szCs w:val="24"/>
        </w:rPr>
      </w:pPr>
      <w:r w:rsidRPr="007A7078">
        <w:rPr>
          <w:rFonts w:ascii="Tahoma" w:eastAsia="DejaVu Sans" w:hAnsi="Tahoma" w:cs="Tahoma"/>
          <w:kern w:val="2"/>
          <w:sz w:val="24"/>
          <w:szCs w:val="24"/>
        </w:rPr>
        <w:t>Tendo em vista a presente doação, necessário se faz revogar a Lei</w:t>
      </w:r>
      <w:r w:rsidRPr="007A7078">
        <w:rPr>
          <w:rFonts w:ascii="Tahoma" w:eastAsia="Times New Roman" w:hAnsi="Tahoma" w:cs="Tahoma"/>
          <w:i/>
          <w:iCs/>
          <w:sz w:val="24"/>
          <w:szCs w:val="24"/>
          <w:lang w:eastAsia="pt-BR"/>
        </w:rPr>
        <w:t xml:space="preserve"> </w:t>
      </w:r>
      <w:r w:rsidRPr="007A7078">
        <w:rPr>
          <w:rFonts w:ascii="Tahoma" w:eastAsia="Times New Roman" w:hAnsi="Tahoma" w:cs="Tahoma"/>
          <w:sz w:val="24"/>
          <w:szCs w:val="24"/>
          <w:lang w:eastAsia="pt-BR"/>
        </w:rPr>
        <w:t>nº</w:t>
      </w:r>
      <w:r w:rsidRPr="007A7078">
        <w:rPr>
          <w:rFonts w:ascii="Tahoma" w:eastAsia="Times New Roman" w:hAnsi="Tahoma" w:cs="Tahoma"/>
          <w:i/>
          <w:iCs/>
          <w:sz w:val="24"/>
          <w:szCs w:val="24"/>
          <w:lang w:eastAsia="pt-BR"/>
        </w:rPr>
        <w:t xml:space="preserve"> </w:t>
      </w:r>
      <w:r w:rsidRPr="007A7078">
        <w:rPr>
          <w:rFonts w:ascii="Tahoma" w:eastAsia="Times New Roman" w:hAnsi="Tahoma" w:cs="Tahoma"/>
          <w:sz w:val="24"/>
          <w:szCs w:val="24"/>
          <w:lang w:eastAsia="pt-BR"/>
        </w:rPr>
        <w:t xml:space="preserve">9.471, de 15 de dezembro de 2022, que outorgou a concessão de direito real de uso à OAB da mesma área ora doada à </w:t>
      </w:r>
      <w:r w:rsidRPr="007A7078">
        <w:rPr>
          <w:rFonts w:ascii="Tahoma" w:hAnsi="Tahoma" w:cs="Tahoma"/>
          <w:sz w:val="24"/>
          <w:szCs w:val="24"/>
        </w:rPr>
        <w:t>Caixa de Assistência dos Advogados de Minas Gerais.</w:t>
      </w:r>
    </w:p>
    <w:p w14:paraId="6CF51DD2" w14:textId="6FE1D5CA" w:rsidR="007A7078" w:rsidRPr="007A7078" w:rsidRDefault="007A7078" w:rsidP="00902E40">
      <w:pPr>
        <w:ind w:firstLine="2268"/>
        <w:jc w:val="both"/>
        <w:rPr>
          <w:rFonts w:ascii="Tahoma" w:hAnsi="Tahoma" w:cs="Tahoma"/>
          <w:b/>
          <w:bCs/>
          <w:color w:val="333333"/>
          <w:sz w:val="24"/>
          <w:szCs w:val="24"/>
          <w:u w:val="single"/>
          <w:shd w:val="clear" w:color="auto" w:fill="FFFFFF"/>
        </w:rPr>
      </w:pPr>
      <w:r w:rsidRPr="007A7078">
        <w:rPr>
          <w:rFonts w:ascii="Tahoma" w:hAnsi="Tahoma" w:cs="Tahoma"/>
          <w:b/>
          <w:bCs/>
          <w:color w:val="333333"/>
          <w:sz w:val="24"/>
          <w:szCs w:val="24"/>
          <w:u w:val="single"/>
          <w:shd w:val="clear" w:color="auto" w:fill="FFFFFF"/>
        </w:rPr>
        <w:t>CONCLUSÃO</w:t>
      </w:r>
    </w:p>
    <w:p w14:paraId="1823D18C" w14:textId="26AA43BB" w:rsidR="00902E40" w:rsidRPr="007A7078" w:rsidRDefault="00902E40" w:rsidP="00902E40">
      <w:pPr>
        <w:ind w:firstLine="2268"/>
        <w:jc w:val="both"/>
        <w:rPr>
          <w:rFonts w:ascii="Tahoma" w:hAnsi="Tahoma" w:cs="Tahoma"/>
          <w:color w:val="333333"/>
          <w:sz w:val="24"/>
          <w:szCs w:val="24"/>
          <w:shd w:val="clear" w:color="auto" w:fill="FFFFFF"/>
        </w:rPr>
      </w:pPr>
      <w:r w:rsidRPr="007A7078">
        <w:rPr>
          <w:rFonts w:ascii="Tahoma" w:hAnsi="Tahoma" w:cs="Tahoma"/>
          <w:color w:val="333333"/>
          <w:sz w:val="24"/>
          <w:szCs w:val="24"/>
          <w:shd w:val="clear" w:color="auto" w:fill="FFFFFF"/>
        </w:rPr>
        <w:t xml:space="preserve">Por tudo que precede, </w:t>
      </w:r>
      <w:r w:rsidR="007A7078" w:rsidRPr="007A7078">
        <w:rPr>
          <w:rFonts w:ascii="Tahoma" w:hAnsi="Tahoma" w:cs="Tahoma"/>
          <w:color w:val="333333"/>
          <w:sz w:val="24"/>
          <w:szCs w:val="24"/>
          <w:shd w:val="clear" w:color="auto" w:fill="FFFFFF"/>
        </w:rPr>
        <w:t xml:space="preserve">o voto é no </w:t>
      </w:r>
      <w:r w:rsidRPr="007A7078">
        <w:rPr>
          <w:rFonts w:ascii="Tahoma" w:hAnsi="Tahoma" w:cs="Tahoma"/>
          <w:color w:val="333333"/>
          <w:sz w:val="24"/>
          <w:szCs w:val="24"/>
          <w:shd w:val="clear" w:color="auto" w:fill="FFFFFF"/>
        </w:rPr>
        <w:t>sentido de que o Projeto de Lei nº 540/2023 reúne condições para apreciação do Plenário, dado a sua legalidade, constitucionalidade e juridicidade.</w:t>
      </w:r>
    </w:p>
    <w:p w14:paraId="16E04549" w14:textId="77777777" w:rsidR="007A7078" w:rsidRDefault="007A7078" w:rsidP="00902E40">
      <w:pPr>
        <w:ind w:firstLine="2268"/>
        <w:jc w:val="both"/>
        <w:rPr>
          <w:rFonts w:ascii="Tahoma" w:hAnsi="Tahoma" w:cs="Tahoma"/>
          <w:color w:val="333333"/>
          <w:sz w:val="24"/>
          <w:szCs w:val="24"/>
          <w:shd w:val="clear" w:color="auto" w:fill="FFFFFF"/>
        </w:rPr>
      </w:pPr>
    </w:p>
    <w:p w14:paraId="07797111" w14:textId="1F41B19B" w:rsidR="007A7078" w:rsidRDefault="007A7078" w:rsidP="00902E40">
      <w:pPr>
        <w:ind w:firstLine="2268"/>
        <w:jc w:val="both"/>
        <w:rPr>
          <w:rFonts w:ascii="Tahoma" w:hAnsi="Tahoma" w:cs="Tahoma"/>
          <w:color w:val="333333"/>
          <w:sz w:val="24"/>
          <w:szCs w:val="24"/>
          <w:shd w:val="clear" w:color="auto" w:fill="FFFFFF"/>
        </w:rPr>
      </w:pPr>
      <w:r>
        <w:rPr>
          <w:rFonts w:ascii="Tahoma" w:hAnsi="Tahoma" w:cs="Tahoma"/>
          <w:color w:val="333333"/>
          <w:sz w:val="24"/>
          <w:szCs w:val="24"/>
          <w:shd w:val="clear" w:color="auto" w:fill="FFFFFF"/>
        </w:rPr>
        <w:t>Sala das reuniões, 11 de dezembro de 2023.</w:t>
      </w:r>
    </w:p>
    <w:p w14:paraId="6581A45F" w14:textId="77777777" w:rsidR="007A7078" w:rsidRDefault="007A7078" w:rsidP="00902E40">
      <w:pPr>
        <w:ind w:firstLine="2268"/>
        <w:jc w:val="both"/>
        <w:rPr>
          <w:rFonts w:ascii="Tahoma" w:hAnsi="Tahoma" w:cs="Tahoma"/>
          <w:color w:val="333333"/>
          <w:sz w:val="24"/>
          <w:szCs w:val="24"/>
          <w:shd w:val="clear" w:color="auto" w:fill="FFFFFF"/>
        </w:rPr>
      </w:pPr>
    </w:p>
    <w:p w14:paraId="404956E4" w14:textId="0397711B" w:rsidR="007A7078" w:rsidRDefault="007A7078" w:rsidP="00902E40">
      <w:pPr>
        <w:ind w:firstLine="2268"/>
        <w:jc w:val="both"/>
        <w:rPr>
          <w:rFonts w:ascii="Tahoma" w:hAnsi="Tahoma" w:cs="Tahoma"/>
          <w:color w:val="333333"/>
          <w:sz w:val="24"/>
          <w:szCs w:val="24"/>
          <w:shd w:val="clear" w:color="auto" w:fill="FFFFFF"/>
        </w:rPr>
      </w:pPr>
      <w:r>
        <w:rPr>
          <w:rFonts w:ascii="Tahoma" w:hAnsi="Tahoma" w:cs="Tahoma"/>
          <w:color w:val="333333"/>
          <w:sz w:val="24"/>
          <w:szCs w:val="24"/>
          <w:shd w:val="clear" w:color="auto" w:fill="FFFFFF"/>
        </w:rPr>
        <w:t>IVAL LUIZ DE SOUZA – relator.</w:t>
      </w:r>
    </w:p>
    <w:p w14:paraId="5B016805" w14:textId="77777777" w:rsidR="007A7078" w:rsidRDefault="007A7078" w:rsidP="00902E40">
      <w:pPr>
        <w:ind w:firstLine="2268"/>
        <w:jc w:val="both"/>
        <w:rPr>
          <w:rFonts w:ascii="Tahoma" w:hAnsi="Tahoma" w:cs="Tahoma"/>
          <w:color w:val="333333"/>
          <w:sz w:val="24"/>
          <w:szCs w:val="24"/>
          <w:shd w:val="clear" w:color="auto" w:fill="FFFFFF"/>
        </w:rPr>
      </w:pPr>
    </w:p>
    <w:p w14:paraId="0A8F719F" w14:textId="79E9F1F1" w:rsidR="007A7078" w:rsidRPr="007A7078" w:rsidRDefault="007A7078" w:rsidP="00902E40">
      <w:pPr>
        <w:ind w:firstLine="2268"/>
        <w:jc w:val="both"/>
        <w:rPr>
          <w:rFonts w:ascii="Tahoma" w:hAnsi="Tahoma" w:cs="Tahoma"/>
          <w:color w:val="333333"/>
          <w:sz w:val="24"/>
          <w:szCs w:val="24"/>
          <w:u w:val="single"/>
          <w:shd w:val="clear" w:color="auto" w:fill="FFFFFF"/>
        </w:rPr>
      </w:pPr>
      <w:r w:rsidRPr="007A7078">
        <w:rPr>
          <w:rFonts w:ascii="Tahoma" w:hAnsi="Tahoma" w:cs="Tahoma"/>
          <w:color w:val="333333"/>
          <w:sz w:val="24"/>
          <w:szCs w:val="24"/>
          <w:u w:val="single"/>
          <w:shd w:val="clear" w:color="auto" w:fill="FFFFFF"/>
        </w:rPr>
        <w:t>De acordo com o relator:</w:t>
      </w:r>
    </w:p>
    <w:p w14:paraId="0152A940" w14:textId="77777777" w:rsidR="007A7078" w:rsidRDefault="007A7078" w:rsidP="00902E40">
      <w:pPr>
        <w:ind w:firstLine="2268"/>
        <w:jc w:val="both"/>
        <w:rPr>
          <w:rFonts w:ascii="Tahoma" w:hAnsi="Tahoma" w:cs="Tahoma"/>
          <w:color w:val="333333"/>
          <w:sz w:val="24"/>
          <w:szCs w:val="24"/>
          <w:shd w:val="clear" w:color="auto" w:fill="FFFFFF"/>
        </w:rPr>
      </w:pPr>
    </w:p>
    <w:p w14:paraId="664B8260" w14:textId="0D928564" w:rsidR="007A7078" w:rsidRDefault="007A7078" w:rsidP="00902E40">
      <w:pPr>
        <w:ind w:firstLine="2268"/>
        <w:jc w:val="both"/>
        <w:rPr>
          <w:rFonts w:ascii="Tahoma" w:hAnsi="Tahoma" w:cs="Tahoma"/>
          <w:color w:val="333333"/>
          <w:sz w:val="24"/>
          <w:szCs w:val="24"/>
          <w:shd w:val="clear" w:color="auto" w:fill="FFFFFF"/>
        </w:rPr>
      </w:pPr>
      <w:r>
        <w:rPr>
          <w:rFonts w:ascii="Tahoma" w:hAnsi="Tahoma" w:cs="Tahoma"/>
          <w:color w:val="333333"/>
          <w:sz w:val="24"/>
          <w:szCs w:val="24"/>
          <w:shd w:val="clear" w:color="auto" w:fill="FFFFFF"/>
        </w:rPr>
        <w:t>MARLI APARECIDA BARBOSA</w:t>
      </w:r>
    </w:p>
    <w:p w14:paraId="1DA0E555" w14:textId="77777777" w:rsidR="007A7078" w:rsidRDefault="007A7078" w:rsidP="00902E40">
      <w:pPr>
        <w:ind w:firstLine="2268"/>
        <w:jc w:val="both"/>
        <w:rPr>
          <w:rFonts w:ascii="Tahoma" w:hAnsi="Tahoma" w:cs="Tahoma"/>
          <w:color w:val="333333"/>
          <w:sz w:val="24"/>
          <w:szCs w:val="24"/>
          <w:shd w:val="clear" w:color="auto" w:fill="FFFFFF"/>
        </w:rPr>
      </w:pPr>
    </w:p>
    <w:p w14:paraId="22FDBEFB" w14:textId="6982B7A3" w:rsidR="007A7078" w:rsidRPr="007A7078" w:rsidRDefault="007A7078" w:rsidP="00902E40">
      <w:pPr>
        <w:ind w:firstLine="2268"/>
        <w:jc w:val="both"/>
        <w:rPr>
          <w:rFonts w:ascii="Tahoma" w:hAnsi="Tahoma" w:cs="Tahoma"/>
          <w:color w:val="333333"/>
          <w:sz w:val="24"/>
          <w:szCs w:val="24"/>
          <w:shd w:val="clear" w:color="auto" w:fill="FFFFFF"/>
        </w:rPr>
      </w:pPr>
      <w:r>
        <w:rPr>
          <w:rFonts w:ascii="Tahoma" w:hAnsi="Tahoma" w:cs="Tahoma"/>
          <w:color w:val="333333"/>
          <w:sz w:val="24"/>
          <w:szCs w:val="24"/>
          <w:shd w:val="clear" w:color="auto" w:fill="FFFFFF"/>
        </w:rPr>
        <w:t>ISMAEL SOARES DE MOURA</w:t>
      </w:r>
    </w:p>
    <w:p w14:paraId="2369C84D" w14:textId="77777777" w:rsidR="007A7078" w:rsidRPr="007A7078" w:rsidRDefault="007A7078" w:rsidP="00902E40">
      <w:pPr>
        <w:ind w:firstLine="2268"/>
        <w:jc w:val="both"/>
        <w:rPr>
          <w:rFonts w:ascii="Tahoma" w:hAnsi="Tahoma" w:cs="Tahoma"/>
          <w:color w:val="333333"/>
          <w:sz w:val="24"/>
          <w:szCs w:val="24"/>
          <w:shd w:val="clear" w:color="auto" w:fill="FFFFFF"/>
        </w:rPr>
      </w:pPr>
    </w:p>
    <w:p w14:paraId="06381DD4" w14:textId="77777777" w:rsidR="004318D2" w:rsidRPr="007A7078" w:rsidRDefault="004318D2">
      <w:pPr>
        <w:rPr>
          <w:rFonts w:ascii="Tahoma" w:hAnsi="Tahoma" w:cs="Tahoma"/>
          <w:sz w:val="24"/>
          <w:szCs w:val="24"/>
        </w:rPr>
      </w:pPr>
    </w:p>
    <w:sectPr w:rsidR="004318D2" w:rsidRPr="007A7078" w:rsidSect="00D5158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40"/>
    <w:rsid w:val="00167773"/>
    <w:rsid w:val="0017507F"/>
    <w:rsid w:val="00383ECC"/>
    <w:rsid w:val="004318D2"/>
    <w:rsid w:val="00453172"/>
    <w:rsid w:val="004861FD"/>
    <w:rsid w:val="004F45A3"/>
    <w:rsid w:val="005A64D7"/>
    <w:rsid w:val="005D2228"/>
    <w:rsid w:val="00717AB9"/>
    <w:rsid w:val="00765240"/>
    <w:rsid w:val="007A7078"/>
    <w:rsid w:val="007C34D1"/>
    <w:rsid w:val="00902E40"/>
    <w:rsid w:val="009E42BA"/>
    <w:rsid w:val="00D515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BB58"/>
  <w15:chartTrackingRefBased/>
  <w15:docId w15:val="{5F56BED5-B87A-45BD-AEE0-5BF78D46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E40"/>
    <w:pPr>
      <w:spacing w:line="252"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02E40"/>
    <w:pPr>
      <w:spacing w:after="0" w:line="240" w:lineRule="auto"/>
    </w:pPr>
    <w:rPr>
      <w:rFonts w:ascii="Calibri" w:eastAsia="Times New Roman" w:hAnsi="Calibri"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7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5749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de Amorim Miranda</dc:creator>
  <cp:keywords/>
  <dc:description/>
  <cp:lastModifiedBy>FLAVIO PIRES INCALADO</cp:lastModifiedBy>
  <cp:revision>2</cp:revision>
  <dcterms:created xsi:type="dcterms:W3CDTF">2023-12-12T20:06:00Z</dcterms:created>
  <dcterms:modified xsi:type="dcterms:W3CDTF">2023-12-12T20:06:00Z</dcterms:modified>
</cp:coreProperties>
</file>