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DA13D" w14:textId="2167F873" w:rsidR="00002131" w:rsidRPr="003E49B3" w:rsidRDefault="00002131" w:rsidP="00002131">
      <w:pPr>
        <w:pStyle w:val="Ttulo"/>
        <w:rPr>
          <w:rStyle w:val="TtulodoLivro"/>
        </w:rPr>
      </w:pPr>
      <w:r w:rsidRPr="004F4EB9">
        <w:t xml:space="preserve">PARECER </w:t>
      </w:r>
      <w:r>
        <w:t>00</w:t>
      </w:r>
      <w:r w:rsidR="00A602D9">
        <w:t>10</w:t>
      </w:r>
      <w:r w:rsidR="00A36F35">
        <w:t>C</w:t>
      </w:r>
      <w:r w:rsidRPr="004F4EB9">
        <w:t>/202</w:t>
      </w:r>
      <w:r>
        <w:t>3</w:t>
      </w:r>
      <w:r w:rsidRPr="004F4EB9">
        <w:t xml:space="preserve">-CLJ – CONSULTORIA </w:t>
      </w:r>
      <w:r w:rsidRPr="00AA18DB">
        <w:rPr>
          <w:rStyle w:val="TtulodoLivro"/>
        </w:rPr>
        <w:t>JURÍDICA</w:t>
      </w:r>
    </w:p>
    <w:p w14:paraId="196818BA" w14:textId="77777777" w:rsidR="00972F4E" w:rsidRDefault="00972F4E" w:rsidP="00002131">
      <w:pPr>
        <w:rPr>
          <w:b/>
          <w:bCs/>
        </w:rPr>
      </w:pPr>
    </w:p>
    <w:p w14:paraId="33221C42" w14:textId="77777777" w:rsidR="00972F4E" w:rsidRDefault="00972F4E" w:rsidP="00002131">
      <w:pPr>
        <w:rPr>
          <w:b/>
          <w:bCs/>
        </w:rPr>
      </w:pPr>
    </w:p>
    <w:p w14:paraId="072AF40E" w14:textId="77777777" w:rsidR="00972F4E" w:rsidRDefault="00972F4E" w:rsidP="00002131">
      <w:pPr>
        <w:rPr>
          <w:b/>
          <w:bCs/>
        </w:rPr>
      </w:pPr>
    </w:p>
    <w:p w14:paraId="58DF796E" w14:textId="4738823A" w:rsidR="00002131" w:rsidRDefault="00002131" w:rsidP="00002131">
      <w:r w:rsidRPr="004E3879">
        <w:rPr>
          <w:b/>
          <w:bCs/>
        </w:rPr>
        <w:t>MATÉRIA:</w:t>
      </w:r>
      <w:r w:rsidRPr="004E3879">
        <w:t xml:space="preserve"> </w:t>
      </w:r>
      <w:r w:rsidR="00180DDD" w:rsidRPr="004F6786">
        <w:rPr>
          <w:b/>
          <w:bCs/>
        </w:rPr>
        <w:tab/>
      </w:r>
      <w:r w:rsidR="00BC0A70" w:rsidRPr="004F6786">
        <w:rPr>
          <w:b/>
          <w:bCs/>
        </w:rPr>
        <w:t>Emenda modificativa 0</w:t>
      </w:r>
      <w:r w:rsidR="00A36F35">
        <w:rPr>
          <w:b/>
          <w:bCs/>
        </w:rPr>
        <w:t>4</w:t>
      </w:r>
      <w:r w:rsidR="00BC0A70" w:rsidRPr="004F6786">
        <w:rPr>
          <w:b/>
          <w:bCs/>
        </w:rPr>
        <w:t xml:space="preserve"> ao</w:t>
      </w:r>
      <w:r w:rsidR="00FB5E2F" w:rsidRPr="004F6786">
        <w:rPr>
          <w:b/>
          <w:bCs/>
        </w:rPr>
        <w:t xml:space="preserve"> </w:t>
      </w:r>
      <w:r w:rsidRPr="004F6786">
        <w:rPr>
          <w:b/>
          <w:bCs/>
        </w:rPr>
        <w:t xml:space="preserve">PLO </w:t>
      </w:r>
      <w:r w:rsidR="001B1BE2" w:rsidRPr="004F6786">
        <w:rPr>
          <w:b/>
          <w:bCs/>
        </w:rPr>
        <w:t>2</w:t>
      </w:r>
      <w:r w:rsidR="00180DDD" w:rsidRPr="004F6786">
        <w:rPr>
          <w:b/>
          <w:bCs/>
        </w:rPr>
        <w:t>3</w:t>
      </w:r>
      <w:r w:rsidR="001B1BE2" w:rsidRPr="004F6786">
        <w:rPr>
          <w:b/>
          <w:bCs/>
        </w:rPr>
        <w:t>6</w:t>
      </w:r>
      <w:r w:rsidRPr="004F6786">
        <w:rPr>
          <w:b/>
          <w:bCs/>
        </w:rPr>
        <w:t>/202</w:t>
      </w:r>
      <w:r w:rsidR="00972F4E" w:rsidRPr="004F6786">
        <w:rPr>
          <w:b/>
          <w:bCs/>
        </w:rPr>
        <w:t>3</w:t>
      </w:r>
      <w:r w:rsidR="00180DDD">
        <w:t xml:space="preserve"> </w:t>
      </w:r>
      <w:r>
        <w:t xml:space="preserve">- </w:t>
      </w:r>
      <w:r w:rsidR="00BC0A70" w:rsidRPr="00BC0A70">
        <w:rPr>
          <w:rStyle w:val="qowt-font2-timesnewroman"/>
        </w:rPr>
        <w:t>QUE “DISPÕE SOBRE A ESTRUTURA ORGANIZACIONAL E O PLANO DE CARGOS, CARREIRAS E VENCIMENTOS, DA CÂMARA MUNICIPAL DE SETE LAGOAS, E DÁ OUTRAS PROVIDÊNCIAS</w:t>
      </w:r>
      <w:r w:rsidR="00034C58">
        <w:rPr>
          <w:rStyle w:val="qowt-font2-timesnewroman"/>
        </w:rPr>
        <w:t xml:space="preserve"> QUE ALTERA O ART. 5º, ANEXO IV E PARTE DO ANEXO X</w:t>
      </w:r>
      <w:r w:rsidR="00BC0A70" w:rsidRPr="00BC0A70">
        <w:rPr>
          <w:rStyle w:val="qowt-font2-timesnewroman"/>
        </w:rPr>
        <w:t>”.</w:t>
      </w:r>
      <w:r w:rsidR="00180DDD">
        <w:tab/>
      </w:r>
      <w:r w:rsidR="004F6786">
        <w:t>Vereador</w:t>
      </w:r>
      <w:r w:rsidR="006D14FD">
        <w:t>a Heloisa Frois</w:t>
      </w:r>
      <w:r w:rsidR="004F6786">
        <w:t xml:space="preserve"> </w:t>
      </w:r>
      <w:r w:rsidR="00180DDD">
        <w:tab/>
      </w:r>
    </w:p>
    <w:p w14:paraId="104249C1" w14:textId="0C6D4305" w:rsidR="00002131" w:rsidRDefault="00CD64D0" w:rsidP="006D14FD">
      <w:r>
        <w:rPr>
          <w:b/>
          <w:bCs/>
        </w:rPr>
        <w:tab/>
      </w:r>
      <w:r>
        <w:rPr>
          <w:b/>
          <w:bCs/>
        </w:rPr>
        <w:tab/>
      </w:r>
      <w:r w:rsidR="00002131" w:rsidRPr="004E6DF5">
        <w:t>Relatório</w:t>
      </w:r>
    </w:p>
    <w:p w14:paraId="1F86B647" w14:textId="0FBCA1CC" w:rsidR="00A337EA" w:rsidRDefault="00D539B0" w:rsidP="00002131">
      <w:pPr>
        <w:pStyle w:val="PargrafodaLista"/>
      </w:pPr>
      <w:r>
        <w:t>Trata-se</w:t>
      </w:r>
      <w:r w:rsidR="00773B4F">
        <w:t>,</w:t>
      </w:r>
      <w:r>
        <w:t xml:space="preserve"> de emendas parlamentar ao projeto de lei ordinária proposto pela Mesa Diretora da Câmara Municipal de Sete Lagoas</w:t>
      </w:r>
      <w:r w:rsidR="00773B4F">
        <w:t xml:space="preserve"> </w:t>
      </w:r>
      <w:r w:rsidR="001B1BE2">
        <w:t xml:space="preserve">que promove a reorganização </w:t>
      </w:r>
      <w:r w:rsidR="00773B4F">
        <w:t>de sua estrutura administrativa</w:t>
      </w:r>
      <w:r w:rsidR="001B1BE2">
        <w:t xml:space="preserve">, assim como do plano de cargos, carreira e vencimentos dos servidores. </w:t>
      </w:r>
    </w:p>
    <w:p w14:paraId="10E2EC8D" w14:textId="77777777" w:rsidR="006D355C" w:rsidRDefault="006D355C" w:rsidP="00002131">
      <w:pPr>
        <w:pStyle w:val="PargrafodaLista"/>
      </w:pPr>
    </w:p>
    <w:p w14:paraId="5C57375D" w14:textId="20AF9D94" w:rsidR="006D14FD" w:rsidRDefault="00165E20" w:rsidP="00002131">
      <w:pPr>
        <w:pStyle w:val="PargrafodaLista"/>
      </w:pPr>
      <w:r>
        <w:t xml:space="preserve">A emenda modificativa </w:t>
      </w:r>
      <w:r w:rsidR="006D14FD">
        <w:t>04</w:t>
      </w:r>
      <w:r>
        <w:t>, de autoria d</w:t>
      </w:r>
      <w:r w:rsidR="006D14FD">
        <w:t>a</w:t>
      </w:r>
      <w:r>
        <w:t xml:space="preserve"> Vereador</w:t>
      </w:r>
      <w:r w:rsidR="006D14FD">
        <w:t xml:space="preserve">a Heloisa Frois, em síntese, </w:t>
      </w:r>
      <w:r w:rsidR="00F63C2B">
        <w:t xml:space="preserve">propõe modificação </w:t>
      </w:r>
      <w:r w:rsidR="005922EF">
        <w:t>o Art. 5º, V, modificando a designação d</w:t>
      </w:r>
      <w:r w:rsidR="00947900">
        <w:t xml:space="preserve">a Consultoria Geral para Consultoria Geral Temporária. Nesta linha, sugere alteração do </w:t>
      </w:r>
      <w:r w:rsidR="00122C1C">
        <w:t>ANEXO IV</w:t>
      </w:r>
      <w:r w:rsidR="001F7346">
        <w:t xml:space="preserve">, para excluir a previsão de vencimento e a previsão do numero de vagas, assim como os requisitos mínimos de provimento, </w:t>
      </w:r>
      <w:r w:rsidR="004A69E5">
        <w:t xml:space="preserve">para sugerir que o servidor seja contratado através da Lei de Licitações e Contratos Administrativos, </w:t>
      </w:r>
      <w:r w:rsidR="005E57C5">
        <w:t>e as vagas surjam de acordo com a demanda, necessidade da casa legislativa; prossegue</w:t>
      </w:r>
      <w:r w:rsidR="007A4890">
        <w:t xml:space="preserve">, na esteira lógica de raciocínio, para modificar a página 22 do Anexo, X, que trata da estruturação do cargo, </w:t>
      </w:r>
      <w:r w:rsidR="002A5805">
        <w:t>na qual define a carga horária por demanda, necessidade, prazo, período diário ou semanal, a depender da atividade a ser desempenhada,</w:t>
      </w:r>
      <w:r w:rsidR="009A2596">
        <w:t xml:space="preserve"> vinculando o vencimento à tabela de preços da categoria profissional e de mercado vigente na época da contratação. </w:t>
      </w:r>
    </w:p>
    <w:p w14:paraId="5E34D87B" w14:textId="77777777" w:rsidR="006D14FD" w:rsidRDefault="006D14FD" w:rsidP="00002131">
      <w:pPr>
        <w:pStyle w:val="PargrafodaLista"/>
      </w:pPr>
    </w:p>
    <w:p w14:paraId="2DE013E6" w14:textId="77777777" w:rsidR="00002131" w:rsidRDefault="00002131" w:rsidP="00002131">
      <w:pPr>
        <w:pStyle w:val="PargrafodaLista"/>
        <w:tabs>
          <w:tab w:val="left" w:pos="4310"/>
        </w:tabs>
      </w:pPr>
      <w:r>
        <w:tab/>
        <w:t xml:space="preserve"> </w:t>
      </w:r>
    </w:p>
    <w:p w14:paraId="0868181A" w14:textId="77777777" w:rsidR="00002131" w:rsidRDefault="00002131" w:rsidP="00F658D2">
      <w:pPr>
        <w:pStyle w:val="Ttulo1"/>
      </w:pPr>
      <w:r w:rsidRPr="008632BC">
        <w:t>Fundamentação</w:t>
      </w:r>
    </w:p>
    <w:p w14:paraId="53D057A6" w14:textId="24B5AB6D" w:rsidR="00F658D2" w:rsidRPr="00F658D2" w:rsidRDefault="00784009" w:rsidP="00784009">
      <w:pPr>
        <w:pStyle w:val="Ttulo2"/>
      </w:pPr>
      <w:r>
        <w:t>Premissa da análise</w:t>
      </w:r>
    </w:p>
    <w:p w14:paraId="1C71641B" w14:textId="77777777" w:rsidR="00002131" w:rsidRDefault="00002131" w:rsidP="00002131">
      <w:pPr>
        <w:pStyle w:val="PargrafodaLista"/>
      </w:pPr>
    </w:p>
    <w:p w14:paraId="6E4AA0DB" w14:textId="734B4110" w:rsidR="001B1BE2" w:rsidRDefault="00437EBF" w:rsidP="00AC7CB8">
      <w:pPr>
        <w:pStyle w:val="PargrafodaLista"/>
      </w:pPr>
      <w:r>
        <w:t>Tratei, no parecer pela constitucionalidade do projeto objeto das emendas, de esclarecer se tratar</w:t>
      </w:r>
      <w:r w:rsidR="00844A27">
        <w:t xml:space="preserve">, a matéria do PLO 236/2023 </w:t>
      </w:r>
      <w:r>
        <w:t xml:space="preserve">de matéria </w:t>
      </w:r>
      <w:r w:rsidR="009259CC">
        <w:t>inerente à organização do</w:t>
      </w:r>
      <w:r w:rsidR="00972DDD">
        <w:t>s serviços administrativos</w:t>
      </w:r>
      <w:r w:rsidR="009259CC">
        <w:t xml:space="preserve"> poder legislativo, </w:t>
      </w:r>
      <w:r w:rsidR="00D5319D">
        <w:t xml:space="preserve">cuja constituição define como de </w:t>
      </w:r>
      <w:r w:rsidR="00117BC8">
        <w:t>iniciativa privativa da Câmara de Vereadores, por simetria ao disposto no Art. 51, IV</w:t>
      </w:r>
      <w:r w:rsidR="00D5319D">
        <w:t xml:space="preserve"> da Constituição Federal e</w:t>
      </w:r>
      <w:r w:rsidR="00117BC8">
        <w:t xml:space="preserve"> </w:t>
      </w:r>
      <w:r w:rsidR="00E67206">
        <w:t xml:space="preserve">de competência exclusiva da Mesa Diretora da Câmara </w:t>
      </w:r>
      <w:r w:rsidR="00117BC8">
        <w:t>conforme determinado no Art. 77, II da Lei Orgânica do Município de Sete Lagoas (LOMSL)</w:t>
      </w:r>
      <w:r w:rsidR="005E337B">
        <w:t>.</w:t>
      </w:r>
    </w:p>
    <w:p w14:paraId="543DB62C" w14:textId="77777777" w:rsidR="005571B6" w:rsidRDefault="005571B6" w:rsidP="00AC7CB8">
      <w:pPr>
        <w:pStyle w:val="PargrafodaLista"/>
      </w:pPr>
    </w:p>
    <w:p w14:paraId="552FDCA8" w14:textId="318E7E2D" w:rsidR="005571B6" w:rsidRDefault="005571B6" w:rsidP="00AC7CB8">
      <w:pPr>
        <w:pStyle w:val="PargrafodaLista"/>
      </w:pPr>
      <w:r>
        <w:t xml:space="preserve">Nos termos da Lei LOMSL, </w:t>
      </w:r>
      <w:r w:rsidR="002D2BC9">
        <w:t>o órgão da Câmara detentor</w:t>
      </w:r>
      <w:r w:rsidR="00E67206">
        <w:t>, com exclusividade</w:t>
      </w:r>
      <w:r w:rsidR="00CF6634">
        <w:t xml:space="preserve"> de competência para </w:t>
      </w:r>
      <w:r w:rsidR="006D7BA8">
        <w:t>criação ou extinção de cargos</w:t>
      </w:r>
      <w:r w:rsidR="00E67206">
        <w:t xml:space="preserve"> e</w:t>
      </w:r>
      <w:r w:rsidR="006D7BA8">
        <w:t xml:space="preserve"> fixar vencimentos</w:t>
      </w:r>
      <w:r w:rsidR="002D2BC9">
        <w:t xml:space="preserve"> é a Mesa Diretora, conforme determinado pelo</w:t>
      </w:r>
      <w:r w:rsidR="006D7BA8">
        <w:t xml:space="preserve">s artigos 64, </w:t>
      </w:r>
      <w:r w:rsidR="00806666">
        <w:t>I e</w:t>
      </w:r>
      <w:r w:rsidR="00E67206">
        <w:t xml:space="preserve"> </w:t>
      </w:r>
      <w:r w:rsidR="002D2BC9">
        <w:t xml:space="preserve">153, </w:t>
      </w:r>
      <w:r w:rsidR="00B8766C">
        <w:t xml:space="preserve">§ 1º </w:t>
      </w:r>
      <w:r w:rsidR="00E67206">
        <w:t xml:space="preserve">da LOMSL </w:t>
      </w:r>
    </w:p>
    <w:p w14:paraId="362D75AF" w14:textId="77777777" w:rsidR="005E337B" w:rsidRDefault="005E337B" w:rsidP="00AC7CB8">
      <w:pPr>
        <w:pStyle w:val="PargrafodaLista"/>
      </w:pPr>
    </w:p>
    <w:p w14:paraId="2A0FCE39" w14:textId="62B876F5" w:rsidR="005E337B" w:rsidRDefault="005E337B" w:rsidP="00AC7CB8">
      <w:pPr>
        <w:pStyle w:val="PargrafodaLista"/>
      </w:pPr>
      <w:r>
        <w:t xml:space="preserve">Ocorre, ainda, na esfera dos três poderes, </w:t>
      </w:r>
      <w:r w:rsidR="00353D06">
        <w:t>expressa vedação constitucional a proposta que pressuponham aumento da despesa prevista</w:t>
      </w:r>
      <w:r w:rsidR="00237436">
        <w:t xml:space="preserve">, nos projetos sobre organização dos serviços administrativos, </w:t>
      </w:r>
      <w:r w:rsidR="00B12E7D">
        <w:t>a rigor: Nas disposições do Art. 63, II, da Constituição Federal</w:t>
      </w:r>
      <w:r w:rsidR="00A947AA">
        <w:t xml:space="preserve"> - CF</w:t>
      </w:r>
      <w:r w:rsidR="00B12E7D">
        <w:t>; no Artigo 68, II da Constituição Estadual de Minas Gerais</w:t>
      </w:r>
      <w:r w:rsidR="00A947AA">
        <w:t xml:space="preserve"> - CEMG</w:t>
      </w:r>
      <w:r w:rsidR="00B12E7D">
        <w:t xml:space="preserve">; </w:t>
      </w:r>
      <w:r w:rsidR="00A947AA">
        <w:t xml:space="preserve">no Art. 79, II da Lei Orgânica do Município de Sete Lagoas (LOMSL) </w:t>
      </w:r>
    </w:p>
    <w:p w14:paraId="387AD386" w14:textId="77777777" w:rsidR="00E67206" w:rsidRDefault="00E67206" w:rsidP="00AC7CB8">
      <w:pPr>
        <w:pStyle w:val="PargrafodaLista"/>
      </w:pPr>
    </w:p>
    <w:p w14:paraId="262BD09D" w14:textId="5447594B" w:rsidR="0044144C" w:rsidRDefault="00E67206" w:rsidP="00AC7CB8">
      <w:pPr>
        <w:pStyle w:val="PargrafodaLista"/>
      </w:pPr>
      <w:r>
        <w:t xml:space="preserve">A jurisprudência de nossas cortes é pacífica ao reconhecer a capacidade parlamentar de ofertar emendas a projetos de lei de iniciativa reservada à administração, </w:t>
      </w:r>
      <w:r w:rsidR="002424FE">
        <w:t xml:space="preserve">não obstante, reconhecendo o limite constitucional do aumento da despesa, e ainda, exigindo pertinência temática entre </w:t>
      </w:r>
      <w:r w:rsidR="00FF0B70">
        <w:t xml:space="preserve">o projeto e a emenda. Nesse sentido: </w:t>
      </w:r>
    </w:p>
    <w:p w14:paraId="14F7F132" w14:textId="77777777" w:rsidR="001B1BE2" w:rsidRDefault="001B1BE2" w:rsidP="00002131">
      <w:pPr>
        <w:pStyle w:val="PargrafodaLista"/>
      </w:pPr>
    </w:p>
    <w:p w14:paraId="596C2970" w14:textId="567EFB37" w:rsidR="00517036" w:rsidRDefault="00517036" w:rsidP="00517036">
      <w:pPr>
        <w:pStyle w:val="Jurisprudncia"/>
        <w:rPr>
          <w:rFonts w:eastAsia="Times New Roman"/>
        </w:rPr>
      </w:pPr>
      <w:r>
        <w:t>AÇÃO DIRETA DE INCONSTITUCIONALIDADE. ARTS. 2º, 3º E 4º DA LEI Nº 15.188/2018 DO ESTADO DO RIO GRANDE DO SUL. ALTERAÇÃO DA LEI Nº 13.930/2012 DO ESTADO DO RIO GRANDE DO SUL. QUADRO DE PESSOAL DO INSTITUTO RIO-GRANDENSE DO ARROZ. NORMAS SOBRE PROMOÇÕES E GRATIFICAÇÕES DE SERVIDORES PÚBLICOS DO EXECUTIVO ACRESCIDAS POR EMENDA PARLAMENTAR. INICIATIVA RESERVADA AO CHEFE DO PODER EXECUTIVO LOCAL. AUMENTO DE DESPESA. LIMITES CONSTITUCIONAIS ÀS EMENDAS PARLAMENTARES AOS PROJETOS DE LEI DE INICIATIVA RESERVADA. OFENSA AO ART. 63, I, DA CONSTITUIÇÃO FEDERAL E AO PRINCÍPIO DA SEPARAÇÃO DE PODERES (ART. 2º, CF). JURISPRUDÊNCIA PACÍFICA E DOMINANTE. PRECEDENTES. 1. A jurisprudência do Supremo Tribunal Federal é pacífica e dominante no sentido de que a previsão constitucional de iniciativa legislativa reservada não impede que o projeto de lei encaminhado ao Poder Legislativo seja objeto de emendas parlamentares. Nesse sentido: ADI 1.050-MC, Rel. Min. Celso de Mello; ADI 865-MC, Rel. Min. Celso de Mello</w:t>
      </w:r>
      <w:r w:rsidRPr="00DF359F">
        <w:rPr>
          <w:b/>
          <w:bCs w:val="0"/>
        </w:rPr>
        <w:t>. 2. Entretanto, este Supremo Tribunal Federal possui jurisprudência pacífica e dominante no sentido de que a possibilidade de emendas parlamentares aos projetos de lei de iniciativa reservada ao Chefe do Poder Executivo, aos Tribunais, ao Ministério Público, dentre outros, encontra duas limitações constitucionais, quais sejam: (i) não acarretem em aumento de despesa e; (</w:t>
      </w:r>
      <w:proofErr w:type="spellStart"/>
      <w:r w:rsidRPr="00DF359F">
        <w:rPr>
          <w:b/>
          <w:bCs w:val="0"/>
        </w:rPr>
        <w:t>ii</w:t>
      </w:r>
      <w:proofErr w:type="spellEnd"/>
      <w:r w:rsidRPr="00DF359F">
        <w:rPr>
          <w:b/>
          <w:bCs w:val="0"/>
        </w:rPr>
        <w:t>) mantenham pertinência temática com o objeto do projeto de lei.</w:t>
      </w:r>
      <w:r>
        <w:t xml:space="preserve"> 3. A emenda parlamentar objeto da presente ação </w:t>
      </w:r>
      <w:r w:rsidR="00DF359F">
        <w:t>acarretou</w:t>
      </w:r>
      <w:r>
        <w:t xml:space="preserve"> inegável aumento de despesa previsto no projeto original encaminhado pelo Governador do Estado do Rio Grande do Sul, violando, portanto, o art. 63, I, da Constituição Federal, dado que instituiu e estendeu gratificações, bem como </w:t>
      </w:r>
      <w:r>
        <w:lastRenderedPageBreak/>
        <w:t xml:space="preserve">reduziu o tempo originalmente previsto na lei entre as promoções, </w:t>
      </w:r>
      <w:r w:rsidR="00DF359F">
        <w:t>tornando-as</w:t>
      </w:r>
      <w:r>
        <w:t xml:space="preserve"> mais frequentes. 4. Ação direta de inconstitucionalidade cujo pedido se julga procedente.</w:t>
      </w:r>
    </w:p>
    <w:p w14:paraId="1CF8D684" w14:textId="77777777" w:rsidR="00FB3DF7" w:rsidRDefault="00517036" w:rsidP="00517036">
      <w:pPr>
        <w:pStyle w:val="Jurisprudncia"/>
      </w:pPr>
      <w:r>
        <w:t>(STF - ADI: 6072 RS, Relator: ROBERTO BARROSO, Data de Julgamento: 30/08/2019, Tribunal Pleno, Data de Publicação: 16/09/2019)</w:t>
      </w:r>
      <w:r w:rsidR="007401FE">
        <w:t xml:space="preserve"> (Disponível em Jusbrasil - </w:t>
      </w:r>
      <w:hyperlink r:id="rId8" w:history="1">
        <w:r w:rsidR="007401FE" w:rsidRPr="00BE1FFA">
          <w:rPr>
            <w:rStyle w:val="Hyperlink"/>
          </w:rPr>
          <w:t>https://www.jusbrasil.com.br/jurisprudencia/busca?q=emenda+parlamentar+em+projeto+de+lei+de+iniciativa+reservada</w:t>
        </w:r>
      </w:hyperlink>
      <w:r w:rsidR="007401FE">
        <w:t xml:space="preserve">; </w:t>
      </w:r>
      <w:r w:rsidR="00FB3DF7">
        <w:t>consultado em 25/06.2023)</w:t>
      </w:r>
    </w:p>
    <w:p w14:paraId="6B1659C3" w14:textId="77777777" w:rsidR="00FB3DF7" w:rsidRDefault="00FB3DF7" w:rsidP="00517036">
      <w:pPr>
        <w:pStyle w:val="Jurisprudncia"/>
      </w:pPr>
    </w:p>
    <w:p w14:paraId="285199B4" w14:textId="3D3D6B6D" w:rsidR="004D5C89" w:rsidRDefault="00FF0B70" w:rsidP="004D5C89">
      <w:pPr>
        <w:pStyle w:val="PargrafodaLista"/>
      </w:pPr>
      <w:r>
        <w:t xml:space="preserve">Dentro desta premissa, conduzirei minha análise. </w:t>
      </w:r>
    </w:p>
    <w:p w14:paraId="5B1A53CC" w14:textId="77777777" w:rsidR="00F658D2" w:rsidRDefault="00F658D2" w:rsidP="004D5C89">
      <w:pPr>
        <w:pStyle w:val="PargrafodaLista"/>
      </w:pPr>
    </w:p>
    <w:p w14:paraId="6EF6B054" w14:textId="1429FFF5" w:rsidR="004D5C89" w:rsidRDefault="00784009" w:rsidP="00784009">
      <w:pPr>
        <w:pStyle w:val="Ttulo2"/>
      </w:pPr>
      <w:r>
        <w:t>A emenda modificativa 0</w:t>
      </w:r>
      <w:r w:rsidR="00CD5A5C">
        <w:t>4</w:t>
      </w:r>
      <w:bookmarkStart w:id="0" w:name="_GoBack"/>
      <w:bookmarkEnd w:id="0"/>
      <w:r>
        <w:t>/2023</w:t>
      </w:r>
    </w:p>
    <w:p w14:paraId="5AE5C7A5" w14:textId="77777777" w:rsidR="00347EB6" w:rsidRDefault="00347EB6" w:rsidP="00347EB6"/>
    <w:p w14:paraId="005C3973" w14:textId="35EBBFF6" w:rsidR="000B50A5" w:rsidRDefault="000B50A5" w:rsidP="00347EB6">
      <w:pPr>
        <w:pStyle w:val="PargrafodaLista"/>
      </w:pPr>
      <w:r>
        <w:t xml:space="preserve">Em que pese a proposta </w:t>
      </w:r>
      <w:r w:rsidR="00F2314B">
        <w:t>do edil</w:t>
      </w:r>
      <w:r>
        <w:t xml:space="preserve"> </w:t>
      </w:r>
      <w:r w:rsidR="00AE698D">
        <w:t xml:space="preserve">não encontrar o óbice previsto nas premissas anteriores, observe-se que propõe que se crie, na estrutura administrativa do município, um cargo com regência contratual diversa do regime jurídico único dos servidores públicos do município, violando expressamente as disposições contidas no Art. 39, </w:t>
      </w:r>
      <w:r w:rsidR="00613508">
        <w:t>de seguinte teor:</w:t>
      </w:r>
    </w:p>
    <w:p w14:paraId="36815A57" w14:textId="77777777" w:rsidR="00613508" w:rsidRDefault="00613508" w:rsidP="00347EB6">
      <w:pPr>
        <w:pStyle w:val="PargrafodaLista"/>
      </w:pPr>
    </w:p>
    <w:p w14:paraId="77417931" w14:textId="0C19027E" w:rsidR="00613508" w:rsidRDefault="00613508" w:rsidP="00613508">
      <w:pPr>
        <w:pStyle w:val="Jurisprudncia"/>
      </w:pPr>
      <w:r w:rsidRPr="00613508">
        <w:t>Art. 39. A União, os Estados, o Distrito Federal e os Municípios instituirão, no âmbito de sua competência, REGIME JURÍDICO ÚNICO e planos de carreira para os servidores da administração pública direta, das autarquias e das fundações públicas.</w:t>
      </w:r>
    </w:p>
    <w:p w14:paraId="7FA1F58F" w14:textId="77777777" w:rsidR="00613508" w:rsidRDefault="00613508" w:rsidP="00347EB6">
      <w:pPr>
        <w:pStyle w:val="PargrafodaLista"/>
      </w:pPr>
    </w:p>
    <w:p w14:paraId="25776267" w14:textId="37EDA4A7" w:rsidR="00613508" w:rsidRDefault="00CA40A6" w:rsidP="00347EB6">
      <w:pPr>
        <w:pStyle w:val="PargrafodaLista"/>
      </w:pPr>
      <w:r>
        <w:t xml:space="preserve">Denota-se, na proposta, uma enorme confusão entre o que constitui a carreira pública e as hipóteses de contratação temporária. </w:t>
      </w:r>
      <w:r w:rsidR="0081538F">
        <w:t>O que se percebe é que há uma resistência da proponente da emenda à criação do cargo de consultoria geral na estrutura administrativa da câmara de vereadores</w:t>
      </w:r>
      <w:r w:rsidR="00402113">
        <w:t xml:space="preserve">, o que seria objeto de mérito legislativo. Neste caso, fosse a hipótese de </w:t>
      </w:r>
      <w:r w:rsidR="00BE73BC">
        <w:t xml:space="preserve">contratação de determinado profissional, sob demanda específica e especial, </w:t>
      </w:r>
      <w:r w:rsidR="003030D4">
        <w:t>conforme</w:t>
      </w:r>
      <w:r w:rsidR="00325868">
        <w:t xml:space="preserve"> os ditames da lei de licitações, estar-se-ia sob uma condição de terceirização de serviços públicos.</w:t>
      </w:r>
      <w:r w:rsidR="00BF6293">
        <w:t xml:space="preserve"> A terceirização, para sua ocorrência, pressupõe a inexistência de um cargo público. </w:t>
      </w:r>
      <w:r w:rsidR="00325868">
        <w:t xml:space="preserve"> </w:t>
      </w:r>
    </w:p>
    <w:p w14:paraId="585573D9" w14:textId="3938C390" w:rsidR="0066554D" w:rsidRDefault="0066554D" w:rsidP="00347EB6">
      <w:pPr>
        <w:pStyle w:val="PargrafodaLista"/>
      </w:pPr>
      <w:r>
        <w:t xml:space="preserve">Tal modalidade de contratação está prevista na Lei de Licitações vigente, </w:t>
      </w:r>
      <w:r w:rsidR="000E434D">
        <w:t>a lei n</w:t>
      </w:r>
      <w:r w:rsidR="000E434D" w:rsidRPr="000E434D">
        <w:t>º 14.133, DE 1º DE ABRIL DE 2021</w:t>
      </w:r>
      <w:r w:rsidR="000E434D">
        <w:t xml:space="preserve">, a qual prevê, em seu Art. 3º, que não se sujeitam aos </w:t>
      </w:r>
      <w:r w:rsidR="00E645E6">
        <w:t>seus termos (</w:t>
      </w:r>
      <w:r w:rsidR="00E645E6" w:rsidRPr="00E645E6">
        <w:t>II</w:t>
      </w:r>
      <w:r w:rsidR="00E645E6">
        <w:t>)</w:t>
      </w:r>
      <w:r w:rsidR="00E645E6" w:rsidRPr="00E645E6">
        <w:t xml:space="preserve"> - contratações sujeitas a normas previstas em legislação própria.</w:t>
      </w:r>
      <w:r w:rsidR="00E374A0">
        <w:t xml:space="preserve"> </w:t>
      </w:r>
      <w:r w:rsidR="006C640B">
        <w:t>Daí</w:t>
      </w:r>
      <w:r w:rsidR="00E374A0">
        <w:t xml:space="preserve"> a impropriedade de criar um cargo na estrutura da administração, que se submete a regime jurídico único e aplicar-lhe como requisito da contratação submissão à lei de licitações. </w:t>
      </w:r>
    </w:p>
    <w:p w14:paraId="00A7A199" w14:textId="0D28E3C3" w:rsidR="00D25EFF" w:rsidRDefault="00E374A0" w:rsidP="00D25EFF">
      <w:pPr>
        <w:pStyle w:val="PargrafodaLista"/>
      </w:pPr>
      <w:r>
        <w:t xml:space="preserve">De </w:t>
      </w:r>
      <w:r w:rsidR="00D25EFF">
        <w:t xml:space="preserve">acordo com o disposto no Art. 37, I E II da Constituição Federal, </w:t>
      </w:r>
      <w:r w:rsidR="00E76037">
        <w:t>cargos, empregos e funções públicas são acessíveis aos brasileiros que preencham requisitos estabelecidos em lei, assim como estrangeiros, sob duas modalidades apenas, por concurso público de provas ou de provas e títulos, de acordo com a natureza e complexidade do cargo, ou por n</w:t>
      </w:r>
      <w:r w:rsidR="00D25EFF">
        <w:t xml:space="preserve">omeações para cargo em comissão declarado em lei de livre nomeação e exoneração; </w:t>
      </w:r>
      <w:r w:rsidR="006C640B">
        <w:lastRenderedPageBreak/>
        <w:t xml:space="preserve">daí também não ser constitucionalmente admissível tratar uma determinada estrutura como cargo e admitir seu provimento por contratação </w:t>
      </w:r>
      <w:r w:rsidR="008E3D33">
        <w:t xml:space="preserve">mediante concorrência pública diversa do concurso, como se terceirização fosse. </w:t>
      </w:r>
    </w:p>
    <w:p w14:paraId="15B658F6" w14:textId="3D28E191" w:rsidR="008E3D33" w:rsidRDefault="008E3D33" w:rsidP="00D25EFF">
      <w:pPr>
        <w:pStyle w:val="PargrafodaLista"/>
      </w:pPr>
      <w:r>
        <w:t xml:space="preserve">Desta forma, a emenda proposta pela nobre vereadora </w:t>
      </w:r>
      <w:r w:rsidR="00D34338">
        <w:t xml:space="preserve">incide em vícios de inconstitucionalidade material, por violação do disposto no Art. 37, I e II e Art. 39 da Constituição Federal, bem como de Ilegalidade, por contrariar o disposto no Art. 3º da Lei 14.133/21. </w:t>
      </w:r>
    </w:p>
    <w:p w14:paraId="5073F896" w14:textId="77777777" w:rsidR="00E76037" w:rsidRDefault="00E76037" w:rsidP="00D25EFF">
      <w:pPr>
        <w:pStyle w:val="PargrafodaLista"/>
      </w:pPr>
    </w:p>
    <w:p w14:paraId="4B97073A" w14:textId="77777777" w:rsidR="00002131" w:rsidRDefault="00002131" w:rsidP="00F75444">
      <w:pPr>
        <w:pStyle w:val="Ttulo1"/>
      </w:pPr>
      <w:r>
        <w:t xml:space="preserve">Conclusão: </w:t>
      </w:r>
    </w:p>
    <w:p w14:paraId="7BFD1A40" w14:textId="77777777" w:rsidR="00002131" w:rsidRDefault="00002131" w:rsidP="00002131">
      <w:pPr>
        <w:pStyle w:val="PargrafodaLista"/>
      </w:pPr>
    </w:p>
    <w:p w14:paraId="68F48800" w14:textId="3F695BCD" w:rsidR="00B21C1C" w:rsidRPr="008521AF" w:rsidRDefault="00002131" w:rsidP="00B21C1C">
      <w:r>
        <w:rPr>
          <w:b/>
          <w:bCs/>
        </w:rPr>
        <w:t xml:space="preserve">Isto posto, opino pela </w:t>
      </w:r>
      <w:r w:rsidR="00D34338">
        <w:rPr>
          <w:b/>
          <w:bCs/>
        </w:rPr>
        <w:t>IN</w:t>
      </w:r>
      <w:r w:rsidR="009973B5">
        <w:rPr>
          <w:b/>
          <w:bCs/>
        </w:rPr>
        <w:t>C</w:t>
      </w:r>
      <w:r>
        <w:rPr>
          <w:b/>
          <w:bCs/>
        </w:rPr>
        <w:t>ONSTITUCIONALIDADE</w:t>
      </w:r>
      <w:r w:rsidR="00D34338">
        <w:rPr>
          <w:b/>
          <w:bCs/>
        </w:rPr>
        <w:t xml:space="preserve"> E I</w:t>
      </w:r>
      <w:r w:rsidR="009973B5" w:rsidRPr="009973B5">
        <w:rPr>
          <w:b/>
          <w:bCs/>
        </w:rPr>
        <w:t xml:space="preserve">LEGALIDADE </w:t>
      </w:r>
      <w:r w:rsidR="009C3D43">
        <w:rPr>
          <w:b/>
          <w:bCs/>
        </w:rPr>
        <w:t>da emenda modificativa 0</w:t>
      </w:r>
      <w:r w:rsidR="00D34338">
        <w:rPr>
          <w:b/>
          <w:bCs/>
        </w:rPr>
        <w:t>4</w:t>
      </w:r>
      <w:r w:rsidR="006B42F9">
        <w:rPr>
          <w:b/>
          <w:bCs/>
        </w:rPr>
        <w:t xml:space="preserve"> ao PLO 236/2022</w:t>
      </w:r>
      <w:r w:rsidR="009C3D43">
        <w:rPr>
          <w:b/>
          <w:bCs/>
        </w:rPr>
        <w:t>, de autoria d</w:t>
      </w:r>
      <w:r w:rsidR="00D34338">
        <w:rPr>
          <w:b/>
          <w:bCs/>
        </w:rPr>
        <w:t>a</w:t>
      </w:r>
      <w:r w:rsidR="009C3D43">
        <w:rPr>
          <w:b/>
          <w:bCs/>
        </w:rPr>
        <w:t xml:space="preserve"> vereador</w:t>
      </w:r>
      <w:r w:rsidR="00D34338">
        <w:rPr>
          <w:b/>
          <w:bCs/>
        </w:rPr>
        <w:t>a</w:t>
      </w:r>
      <w:r w:rsidR="009C3D43">
        <w:rPr>
          <w:b/>
          <w:bCs/>
        </w:rPr>
        <w:t xml:space="preserve"> </w:t>
      </w:r>
      <w:r w:rsidR="00D34338">
        <w:rPr>
          <w:b/>
          <w:bCs/>
        </w:rPr>
        <w:t xml:space="preserve">Heloisa Frois, </w:t>
      </w:r>
      <w:r w:rsidR="00F72220">
        <w:rPr>
          <w:b/>
          <w:bCs/>
        </w:rPr>
        <w:t xml:space="preserve">recomendando </w:t>
      </w:r>
      <w:r w:rsidR="00F75444">
        <w:rPr>
          <w:b/>
          <w:bCs/>
        </w:rPr>
        <w:t xml:space="preserve">sua rejeição pela CLJ. </w:t>
      </w:r>
      <w:r w:rsidR="00B21C1C">
        <w:t xml:space="preserve"> </w:t>
      </w:r>
    </w:p>
    <w:p w14:paraId="323DAC4C" w14:textId="77777777" w:rsidR="009C3D43" w:rsidRDefault="009C3D43" w:rsidP="00002131">
      <w:pPr>
        <w:pStyle w:val="PargrafodaLista"/>
        <w:rPr>
          <w:b/>
          <w:bCs/>
        </w:rPr>
      </w:pPr>
    </w:p>
    <w:p w14:paraId="3591DCEA" w14:textId="77777777" w:rsidR="00002131" w:rsidRDefault="00002131" w:rsidP="00002131">
      <w:pPr>
        <w:pStyle w:val="PargrafodaLista"/>
      </w:pPr>
      <w:r>
        <w:t xml:space="preserve">É o parecer desta consultoria jurídica, em atuação conjunta com a procuradoria desta Câmara Municipal de Sete Lagoas. </w:t>
      </w:r>
    </w:p>
    <w:p w14:paraId="37D4BC53" w14:textId="77777777" w:rsidR="00002131" w:rsidRDefault="00002131" w:rsidP="00002131">
      <w:pPr>
        <w:pStyle w:val="PargrafodaLista"/>
      </w:pPr>
    </w:p>
    <w:p w14:paraId="77498248" w14:textId="350C16EE" w:rsidR="00002131" w:rsidRDefault="00002131" w:rsidP="00002131">
      <w:pPr>
        <w:pStyle w:val="PargrafodaLista"/>
      </w:pPr>
      <w:r>
        <w:t xml:space="preserve">Sete Lagoas, MG, </w:t>
      </w:r>
      <w:r w:rsidR="00076EC6">
        <w:t xml:space="preserve">21 de junho de </w:t>
      </w:r>
      <w:r w:rsidR="00804270">
        <w:t>2023</w:t>
      </w:r>
      <w:r>
        <w:t xml:space="preserve"> </w:t>
      </w:r>
    </w:p>
    <w:p w14:paraId="5A1804F5" w14:textId="77777777" w:rsidR="00002131" w:rsidRDefault="00002131" w:rsidP="00002131">
      <w:pPr>
        <w:pStyle w:val="PargrafodaLista"/>
      </w:pPr>
    </w:p>
    <w:p w14:paraId="66830E22" w14:textId="77777777" w:rsidR="00002131" w:rsidRDefault="00002131" w:rsidP="00002131">
      <w:pPr>
        <w:pStyle w:val="PargrafodaLista"/>
      </w:pPr>
    </w:p>
    <w:p w14:paraId="4CC2141B" w14:textId="77777777" w:rsidR="00002131" w:rsidRPr="000D7D02" w:rsidRDefault="00002131" w:rsidP="00002131">
      <w:pPr>
        <w:pStyle w:val="PargrafodaLista"/>
        <w:jc w:val="right"/>
      </w:pPr>
      <w:r>
        <w:t xml:space="preserve">José Maria Lima de Carvalho – Consultor Jurídico. </w:t>
      </w:r>
    </w:p>
    <w:p w14:paraId="7212D56F" w14:textId="77777777" w:rsidR="00234942" w:rsidRPr="00002131" w:rsidRDefault="00234942" w:rsidP="00002131"/>
    <w:sectPr w:rsidR="00234942" w:rsidRPr="0000213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124F5" w14:textId="77777777" w:rsidR="00526BEC" w:rsidRDefault="00526BEC" w:rsidP="003C34B0">
      <w:pPr>
        <w:spacing w:after="0" w:line="240" w:lineRule="auto"/>
      </w:pPr>
      <w:r>
        <w:separator/>
      </w:r>
    </w:p>
  </w:endnote>
  <w:endnote w:type="continuationSeparator" w:id="0">
    <w:p w14:paraId="266C0EBF" w14:textId="77777777" w:rsidR="00526BEC" w:rsidRDefault="00526BEC"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DejaVu Sans">
    <w:altName w:val="MS 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Assistant">
    <w:charset w:val="B1"/>
    <w:family w:val="auto"/>
    <w:pitch w:val="variable"/>
    <w:sig w:usb0="A00008FF" w:usb1="4000204B"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39507" w14:textId="77777777" w:rsidR="003C34B0" w:rsidRDefault="003C34B0">
    <w:pPr>
      <w:pStyle w:val="Rodap"/>
    </w:pPr>
  </w:p>
  <w:p w14:paraId="6ED8F27A" w14:textId="77777777" w:rsidR="003C34B0" w:rsidRDefault="003C34B0">
    <w:pPr>
      <w:pStyle w:val="Rodap"/>
    </w:pPr>
  </w:p>
  <w:p w14:paraId="13DB275D" w14:textId="77777777" w:rsidR="003C34B0" w:rsidRDefault="003C34B0">
    <w:pPr>
      <w:pStyle w:val="Rodap"/>
    </w:pPr>
  </w:p>
  <w:p w14:paraId="5981C3C5"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F9CDF" w14:textId="77777777" w:rsidR="00526BEC" w:rsidRDefault="00526BEC" w:rsidP="003C34B0">
      <w:pPr>
        <w:spacing w:after="0" w:line="240" w:lineRule="auto"/>
      </w:pPr>
      <w:r>
        <w:separator/>
      </w:r>
    </w:p>
  </w:footnote>
  <w:footnote w:type="continuationSeparator" w:id="0">
    <w:p w14:paraId="36B9072E" w14:textId="77777777" w:rsidR="00526BEC" w:rsidRDefault="00526BEC"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3837" w14:textId="77777777" w:rsidR="003C34B0" w:rsidRDefault="004C700D">
    <w:pPr>
      <w:pStyle w:val="Cabealho"/>
    </w:pPr>
    <w:r>
      <w:rPr>
        <w:noProof/>
      </w:rPr>
      <w:drawing>
        <wp:anchor distT="0" distB="0" distL="114300" distR="114300" simplePos="0" relativeHeight="251658240" behindDoc="1" locked="0" layoutInCell="1" allowOverlap="1" wp14:anchorId="5657BE85" wp14:editId="7F34E0BC">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1D796E2C" w14:textId="77777777" w:rsidR="003C34B0" w:rsidRDefault="003C34B0">
    <w:pPr>
      <w:pStyle w:val="Cabealho"/>
    </w:pPr>
  </w:p>
  <w:p w14:paraId="56845FCE" w14:textId="77777777" w:rsidR="003C34B0" w:rsidRDefault="003C34B0">
    <w:pPr>
      <w:pStyle w:val="Cabealho"/>
    </w:pPr>
  </w:p>
  <w:p w14:paraId="2F5C492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4B2AF96"/>
    <w:lvl w:ilvl="0">
      <w:start w:val="1"/>
      <w:numFmt w:val="decimal"/>
      <w:pStyle w:val="Numerada"/>
      <w:lvlText w:val="%1."/>
      <w:lvlJc w:val="left"/>
      <w:pPr>
        <w:ind w:left="360" w:hanging="360"/>
      </w:pPr>
    </w:lvl>
  </w:abstractNum>
  <w:abstractNum w:abstractNumId="1" w15:restartNumberingAfterBreak="0">
    <w:nsid w:val="0D897D16"/>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3DA112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2"/>
  </w:num>
  <w:num w:numId="4">
    <w:abstractNumId w:val="1"/>
  </w:num>
  <w:num w:numId="5">
    <w:abstractNumId w:val="1"/>
  </w:num>
  <w:num w:numId="6">
    <w:abstractNumId w:val="1"/>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31"/>
    <w:rsid w:val="000015B9"/>
    <w:rsid w:val="00002131"/>
    <w:rsid w:val="00034C58"/>
    <w:rsid w:val="00034DE7"/>
    <w:rsid w:val="00043EEC"/>
    <w:rsid w:val="00055ABF"/>
    <w:rsid w:val="00076EC6"/>
    <w:rsid w:val="000808B6"/>
    <w:rsid w:val="000A48B9"/>
    <w:rsid w:val="000B50A5"/>
    <w:rsid w:val="000B5975"/>
    <w:rsid w:val="000C4F48"/>
    <w:rsid w:val="000D66B1"/>
    <w:rsid w:val="000E434D"/>
    <w:rsid w:val="00117BC8"/>
    <w:rsid w:val="001229D4"/>
    <w:rsid w:val="00122C1C"/>
    <w:rsid w:val="00145C50"/>
    <w:rsid w:val="00165E20"/>
    <w:rsid w:val="00176937"/>
    <w:rsid w:val="00180DDD"/>
    <w:rsid w:val="0019338E"/>
    <w:rsid w:val="001B1BE2"/>
    <w:rsid w:val="001C4D4A"/>
    <w:rsid w:val="001F6D7A"/>
    <w:rsid w:val="001F7346"/>
    <w:rsid w:val="00204839"/>
    <w:rsid w:val="00226189"/>
    <w:rsid w:val="00232E52"/>
    <w:rsid w:val="00232E8E"/>
    <w:rsid w:val="00234942"/>
    <w:rsid w:val="00236C87"/>
    <w:rsid w:val="00237436"/>
    <w:rsid w:val="002424FE"/>
    <w:rsid w:val="00244655"/>
    <w:rsid w:val="002A5805"/>
    <w:rsid w:val="002D2BC9"/>
    <w:rsid w:val="002E3CC3"/>
    <w:rsid w:val="002E67C9"/>
    <w:rsid w:val="003030D4"/>
    <w:rsid w:val="00304AFD"/>
    <w:rsid w:val="00325868"/>
    <w:rsid w:val="00347EB6"/>
    <w:rsid w:val="00353D06"/>
    <w:rsid w:val="00356B25"/>
    <w:rsid w:val="00360FAD"/>
    <w:rsid w:val="00365107"/>
    <w:rsid w:val="00394F74"/>
    <w:rsid w:val="003B478D"/>
    <w:rsid w:val="003B7915"/>
    <w:rsid w:val="003C34B0"/>
    <w:rsid w:val="003D4833"/>
    <w:rsid w:val="003E2399"/>
    <w:rsid w:val="00402113"/>
    <w:rsid w:val="004041CC"/>
    <w:rsid w:val="00431D2B"/>
    <w:rsid w:val="00437EBF"/>
    <w:rsid w:val="0044144C"/>
    <w:rsid w:val="00450D60"/>
    <w:rsid w:val="00472ED1"/>
    <w:rsid w:val="00481FA3"/>
    <w:rsid w:val="004A69E5"/>
    <w:rsid w:val="004C700D"/>
    <w:rsid w:val="004D319A"/>
    <w:rsid w:val="004D5C89"/>
    <w:rsid w:val="004D62F7"/>
    <w:rsid w:val="004D7926"/>
    <w:rsid w:val="004E0876"/>
    <w:rsid w:val="004F6786"/>
    <w:rsid w:val="00517036"/>
    <w:rsid w:val="0052181E"/>
    <w:rsid w:val="00526BEC"/>
    <w:rsid w:val="00544B8F"/>
    <w:rsid w:val="005571B6"/>
    <w:rsid w:val="00560878"/>
    <w:rsid w:val="0058077B"/>
    <w:rsid w:val="005922EF"/>
    <w:rsid w:val="005A37BD"/>
    <w:rsid w:val="005C5904"/>
    <w:rsid w:val="005E337B"/>
    <w:rsid w:val="005E57C5"/>
    <w:rsid w:val="005F780F"/>
    <w:rsid w:val="00610012"/>
    <w:rsid w:val="00613508"/>
    <w:rsid w:val="006142C3"/>
    <w:rsid w:val="00627C14"/>
    <w:rsid w:val="00644464"/>
    <w:rsid w:val="00651F3F"/>
    <w:rsid w:val="0066554D"/>
    <w:rsid w:val="00677D00"/>
    <w:rsid w:val="006870D9"/>
    <w:rsid w:val="006B42F9"/>
    <w:rsid w:val="006C640B"/>
    <w:rsid w:val="006D14FD"/>
    <w:rsid w:val="006D355C"/>
    <w:rsid w:val="006D3D65"/>
    <w:rsid w:val="006D7BA8"/>
    <w:rsid w:val="00700160"/>
    <w:rsid w:val="00701AB8"/>
    <w:rsid w:val="00733052"/>
    <w:rsid w:val="007401FE"/>
    <w:rsid w:val="007649FB"/>
    <w:rsid w:val="00773B4F"/>
    <w:rsid w:val="00775DE0"/>
    <w:rsid w:val="00784009"/>
    <w:rsid w:val="007A4890"/>
    <w:rsid w:val="00803DEF"/>
    <w:rsid w:val="00804270"/>
    <w:rsid w:val="00806666"/>
    <w:rsid w:val="0081538F"/>
    <w:rsid w:val="008272FD"/>
    <w:rsid w:val="00844A27"/>
    <w:rsid w:val="00847E26"/>
    <w:rsid w:val="008521AF"/>
    <w:rsid w:val="00854643"/>
    <w:rsid w:val="00864B0E"/>
    <w:rsid w:val="00884B5C"/>
    <w:rsid w:val="008965F6"/>
    <w:rsid w:val="008A42D2"/>
    <w:rsid w:val="008E3D33"/>
    <w:rsid w:val="00914C96"/>
    <w:rsid w:val="009259CC"/>
    <w:rsid w:val="00933D11"/>
    <w:rsid w:val="00945807"/>
    <w:rsid w:val="00947900"/>
    <w:rsid w:val="00947C9F"/>
    <w:rsid w:val="00972DDD"/>
    <w:rsid w:val="00972F4E"/>
    <w:rsid w:val="00977D06"/>
    <w:rsid w:val="00994424"/>
    <w:rsid w:val="009973B5"/>
    <w:rsid w:val="009A2596"/>
    <w:rsid w:val="009C3D43"/>
    <w:rsid w:val="009D73CA"/>
    <w:rsid w:val="009F1485"/>
    <w:rsid w:val="00A126CB"/>
    <w:rsid w:val="00A27503"/>
    <w:rsid w:val="00A337EA"/>
    <w:rsid w:val="00A36F35"/>
    <w:rsid w:val="00A602D9"/>
    <w:rsid w:val="00A70E60"/>
    <w:rsid w:val="00A7247B"/>
    <w:rsid w:val="00A8023A"/>
    <w:rsid w:val="00A947AA"/>
    <w:rsid w:val="00AB6010"/>
    <w:rsid w:val="00AC7CB8"/>
    <w:rsid w:val="00AD3B2B"/>
    <w:rsid w:val="00AE698D"/>
    <w:rsid w:val="00AF50C0"/>
    <w:rsid w:val="00B00A8A"/>
    <w:rsid w:val="00B12E7D"/>
    <w:rsid w:val="00B20AF2"/>
    <w:rsid w:val="00B21C1C"/>
    <w:rsid w:val="00B31F43"/>
    <w:rsid w:val="00B5009C"/>
    <w:rsid w:val="00B8766C"/>
    <w:rsid w:val="00B9245C"/>
    <w:rsid w:val="00BC0A70"/>
    <w:rsid w:val="00BD4466"/>
    <w:rsid w:val="00BE73BC"/>
    <w:rsid w:val="00BF6293"/>
    <w:rsid w:val="00C2039A"/>
    <w:rsid w:val="00C52FE7"/>
    <w:rsid w:val="00C67E36"/>
    <w:rsid w:val="00C80BB0"/>
    <w:rsid w:val="00C861A3"/>
    <w:rsid w:val="00CA40A6"/>
    <w:rsid w:val="00CD2582"/>
    <w:rsid w:val="00CD5A5C"/>
    <w:rsid w:val="00CD64D0"/>
    <w:rsid w:val="00CD77D0"/>
    <w:rsid w:val="00CE37A3"/>
    <w:rsid w:val="00CF2A98"/>
    <w:rsid w:val="00CF6634"/>
    <w:rsid w:val="00D16AEB"/>
    <w:rsid w:val="00D25EFF"/>
    <w:rsid w:val="00D315E0"/>
    <w:rsid w:val="00D34338"/>
    <w:rsid w:val="00D5319D"/>
    <w:rsid w:val="00D539B0"/>
    <w:rsid w:val="00D72E37"/>
    <w:rsid w:val="00DF359F"/>
    <w:rsid w:val="00E100A3"/>
    <w:rsid w:val="00E20551"/>
    <w:rsid w:val="00E374A0"/>
    <w:rsid w:val="00E463F5"/>
    <w:rsid w:val="00E645E6"/>
    <w:rsid w:val="00E67206"/>
    <w:rsid w:val="00E76037"/>
    <w:rsid w:val="00F20AE2"/>
    <w:rsid w:val="00F2314B"/>
    <w:rsid w:val="00F362AB"/>
    <w:rsid w:val="00F63C2B"/>
    <w:rsid w:val="00F658D2"/>
    <w:rsid w:val="00F72220"/>
    <w:rsid w:val="00F75444"/>
    <w:rsid w:val="00FB3DF7"/>
    <w:rsid w:val="00FB5E2F"/>
    <w:rsid w:val="00FF0B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C8751"/>
  <w15:chartTrackingRefBased/>
  <w15:docId w15:val="{8493CC5B-92A3-472B-9899-4A9A4B6E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C1C"/>
    <w:pPr>
      <w:jc w:val="both"/>
    </w:pPr>
    <w:rPr>
      <w:rFonts w:ascii="Avenir Next LT Pro" w:eastAsia="DejaVu Sans" w:hAnsi="Avenir Next LT Pro" w:cs="Times New Roman"/>
      <w:color w:val="000000" w:themeColor="text1"/>
      <w:kern w:val="2"/>
      <w:sz w:val="24"/>
      <w:szCs w:val="24"/>
    </w:rPr>
  </w:style>
  <w:style w:type="paragraph" w:styleId="Ttulo1">
    <w:name w:val="heading 1"/>
    <w:next w:val="Normal"/>
    <w:link w:val="Ttulo1Char"/>
    <w:uiPriority w:val="9"/>
    <w:qFormat/>
    <w:rsid w:val="00304AFD"/>
    <w:pPr>
      <w:numPr>
        <w:numId w:val="4"/>
      </w:numPr>
      <w:jc w:val="both"/>
      <w:outlineLvl w:val="0"/>
    </w:pPr>
    <w:rPr>
      <w:rFonts w:ascii="Arial" w:hAnsi="Arial" w:cs="Iskoola Pota"/>
      <w:b/>
      <w:bCs/>
      <w:sz w:val="24"/>
      <w:u w:val="single" w:color="00B050"/>
    </w:rPr>
  </w:style>
  <w:style w:type="paragraph" w:styleId="Ttulo2">
    <w:name w:val="heading 2"/>
    <w:basedOn w:val="Normal"/>
    <w:next w:val="Normal"/>
    <w:link w:val="Ttulo2Char"/>
    <w:uiPriority w:val="9"/>
    <w:unhideWhenUsed/>
    <w:qFormat/>
    <w:rsid w:val="008272FD"/>
    <w:pPr>
      <w:keepNext/>
      <w:keepLines/>
      <w:numPr>
        <w:ilvl w:val="1"/>
        <w:numId w:val="4"/>
      </w:numPr>
      <w:spacing w:before="40" w:after="0"/>
      <w:outlineLvl w:val="1"/>
    </w:pPr>
    <w:rPr>
      <w:rFonts w:ascii="Arial Narrow" w:hAnsi="Arial Narrow" w:cstheme="majorBidi"/>
      <w:b/>
      <w:bCs/>
      <w:color w:val="171717" w:themeColor="background2" w:themeShade="1A"/>
      <w:u w:val="double"/>
    </w:rPr>
  </w:style>
  <w:style w:type="paragraph" w:styleId="Ttulo3">
    <w:name w:val="heading 3"/>
    <w:basedOn w:val="Normal"/>
    <w:next w:val="Normal"/>
    <w:link w:val="Ttulo3Char"/>
    <w:uiPriority w:val="9"/>
    <w:semiHidden/>
    <w:unhideWhenUsed/>
    <w:qFormat/>
    <w:rsid w:val="00784009"/>
    <w:pPr>
      <w:keepNext/>
      <w:keepLines/>
      <w:numPr>
        <w:ilvl w:val="2"/>
        <w:numId w:val="4"/>
      </w:numPr>
      <w:spacing w:before="40" w:after="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78400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784009"/>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784009"/>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784009"/>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78400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78400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Data">
    <w:name w:val="Date"/>
    <w:basedOn w:val="Normal"/>
    <w:next w:val="Normal"/>
    <w:link w:val="DataChar"/>
    <w:uiPriority w:val="99"/>
    <w:unhideWhenUsed/>
    <w:rsid w:val="00232E8E"/>
  </w:style>
  <w:style w:type="character" w:customStyle="1" w:styleId="DataChar">
    <w:name w:val="Data Char"/>
    <w:basedOn w:val="Fontepargpadro"/>
    <w:link w:val="Data"/>
    <w:uiPriority w:val="99"/>
    <w:rsid w:val="00232E8E"/>
    <w:rPr>
      <w:rFonts w:ascii="Baguet Script" w:hAnsi="Baguet Script"/>
    </w:rPr>
  </w:style>
  <w:style w:type="paragraph" w:styleId="Ttulo">
    <w:name w:val="Title"/>
    <w:next w:val="Normal"/>
    <w:link w:val="TtuloChar"/>
    <w:uiPriority w:val="10"/>
    <w:qFormat/>
    <w:rsid w:val="00D72E37"/>
    <w:pPr>
      <w:jc w:val="right"/>
    </w:pPr>
    <w:rPr>
      <w:rFonts w:ascii="Arial Rounded MT Bold" w:hAnsi="Arial Rounded MT Bold" w:cs="Iskoola Pota"/>
      <w:b/>
      <w:bCs/>
      <w:color w:val="222A35" w:themeColor="text2" w:themeShade="80"/>
      <w:sz w:val="24"/>
    </w:rPr>
  </w:style>
  <w:style w:type="character" w:customStyle="1" w:styleId="TtuloChar">
    <w:name w:val="Título Char"/>
    <w:basedOn w:val="Fontepargpadro"/>
    <w:link w:val="Ttulo"/>
    <w:uiPriority w:val="10"/>
    <w:rsid w:val="00D72E37"/>
    <w:rPr>
      <w:rFonts w:ascii="Arial Rounded MT Bold" w:hAnsi="Arial Rounded MT Bold" w:cs="Iskoola Pota"/>
      <w:b/>
      <w:bCs/>
      <w:color w:val="222A35" w:themeColor="text2" w:themeShade="80"/>
      <w:sz w:val="24"/>
    </w:rPr>
  </w:style>
  <w:style w:type="paragraph" w:styleId="PargrafodaLista">
    <w:name w:val="List Paragraph"/>
    <w:basedOn w:val="Normal"/>
    <w:uiPriority w:val="34"/>
    <w:qFormat/>
    <w:rsid w:val="000D66B1"/>
    <w:pPr>
      <w:spacing w:after="0" w:line="240" w:lineRule="auto"/>
      <w:ind w:firstLine="1701"/>
      <w:contextualSpacing/>
    </w:pPr>
  </w:style>
  <w:style w:type="character" w:styleId="Forte">
    <w:name w:val="Strong"/>
    <w:basedOn w:val="Fontepargpadro"/>
    <w:uiPriority w:val="22"/>
    <w:qFormat/>
    <w:rsid w:val="008272FD"/>
    <w:rPr>
      <w:b/>
      <w:bCs/>
    </w:rPr>
  </w:style>
  <w:style w:type="character" w:customStyle="1" w:styleId="Ttulo1Char">
    <w:name w:val="Título 1 Char"/>
    <w:basedOn w:val="Fontepargpadro"/>
    <w:link w:val="Ttulo1"/>
    <w:uiPriority w:val="9"/>
    <w:rsid w:val="00304AFD"/>
    <w:rPr>
      <w:rFonts w:ascii="Arial" w:hAnsi="Arial" w:cs="Iskoola Pota"/>
      <w:b/>
      <w:bCs/>
      <w:sz w:val="24"/>
      <w:u w:val="single" w:color="00B050"/>
    </w:rPr>
  </w:style>
  <w:style w:type="character" w:customStyle="1" w:styleId="Ttulo2Char">
    <w:name w:val="Título 2 Char"/>
    <w:basedOn w:val="Fontepargpadro"/>
    <w:link w:val="Ttulo2"/>
    <w:uiPriority w:val="9"/>
    <w:rsid w:val="008272FD"/>
    <w:rPr>
      <w:rFonts w:ascii="Arial Narrow" w:eastAsia="DejaVu Sans" w:hAnsi="Arial Narrow" w:cstheme="majorBidi"/>
      <w:b/>
      <w:bCs/>
      <w:color w:val="171717" w:themeColor="background2" w:themeShade="1A"/>
      <w:kern w:val="2"/>
      <w:sz w:val="24"/>
      <w:szCs w:val="24"/>
      <w:u w:val="double"/>
    </w:rPr>
  </w:style>
  <w:style w:type="character" w:styleId="Hyperlink">
    <w:name w:val="Hyperlink"/>
    <w:unhideWhenUsed/>
    <w:rsid w:val="008272FD"/>
    <w:rPr>
      <w:color w:val="000080"/>
      <w:u w:val="single"/>
    </w:rPr>
  </w:style>
  <w:style w:type="paragraph" w:styleId="Subttulo">
    <w:name w:val="Subtitle"/>
    <w:basedOn w:val="Normal"/>
    <w:next w:val="Normal"/>
    <w:link w:val="SubttuloChar"/>
    <w:qFormat/>
    <w:rsid w:val="008272FD"/>
    <w:rPr>
      <w:rFonts w:ascii="Arial Narrow" w:hAnsi="Arial Narrow"/>
    </w:rPr>
  </w:style>
  <w:style w:type="character" w:customStyle="1" w:styleId="SubttuloChar">
    <w:name w:val="Subtítulo Char"/>
    <w:basedOn w:val="Fontepargpadro"/>
    <w:link w:val="Subttulo"/>
    <w:rsid w:val="008272FD"/>
    <w:rPr>
      <w:rFonts w:ascii="Arial Narrow" w:eastAsia="DejaVu Sans" w:hAnsi="Arial Narrow" w:cs="Times New Roman"/>
      <w:color w:val="000000" w:themeColor="text1"/>
      <w:kern w:val="2"/>
      <w:sz w:val="24"/>
      <w:szCs w:val="24"/>
    </w:rPr>
  </w:style>
  <w:style w:type="paragraph" w:styleId="Citao">
    <w:name w:val="Quote"/>
    <w:basedOn w:val="Normal"/>
    <w:link w:val="CitaoChar"/>
    <w:uiPriority w:val="29"/>
    <w:qFormat/>
    <w:rsid w:val="00F20AE2"/>
    <w:pPr>
      <w:spacing w:before="200" w:after="0"/>
      <w:ind w:left="1843" w:right="140"/>
    </w:pPr>
    <w:rPr>
      <w:rFonts w:cs="Assistant"/>
      <w:i/>
      <w:iCs/>
      <w:color w:val="404040" w:themeColor="text1" w:themeTint="BF"/>
      <w:sz w:val="20"/>
    </w:rPr>
  </w:style>
  <w:style w:type="character" w:customStyle="1" w:styleId="CitaoChar">
    <w:name w:val="Citação Char"/>
    <w:basedOn w:val="Fontepargpadro"/>
    <w:link w:val="Citao"/>
    <w:uiPriority w:val="29"/>
    <w:rsid w:val="00F20AE2"/>
    <w:rPr>
      <w:rFonts w:ascii="Assistant" w:eastAsia="DejaVu Sans" w:hAnsi="Assistant" w:cs="Assistant"/>
      <w:i/>
      <w:iCs/>
      <w:color w:val="404040" w:themeColor="text1" w:themeTint="BF"/>
      <w:kern w:val="2"/>
      <w:sz w:val="20"/>
      <w:szCs w:val="24"/>
    </w:rPr>
  </w:style>
  <w:style w:type="character" w:styleId="TtulodoLivro">
    <w:name w:val="Book Title"/>
    <w:uiPriority w:val="33"/>
    <w:qFormat/>
    <w:rsid w:val="008272FD"/>
  </w:style>
  <w:style w:type="paragraph" w:customStyle="1" w:styleId="Referncialegislativa">
    <w:name w:val="Referência legislativa"/>
    <w:basedOn w:val="Normal"/>
    <w:link w:val="ReferncialegislativaChar"/>
    <w:qFormat/>
    <w:rsid w:val="008272FD"/>
    <w:pPr>
      <w:spacing w:after="0" w:line="240" w:lineRule="auto"/>
      <w:ind w:left="2268"/>
    </w:pPr>
    <w:rPr>
      <w:color w:val="171717" w:themeColor="background2" w:themeShade="1A"/>
      <w:sz w:val="20"/>
    </w:rPr>
  </w:style>
  <w:style w:type="character" w:customStyle="1" w:styleId="ReferncialegislativaChar">
    <w:name w:val="Referência legislativa Char"/>
    <w:basedOn w:val="Fontepargpadro"/>
    <w:link w:val="Referncialegislativa"/>
    <w:rsid w:val="008272FD"/>
    <w:rPr>
      <w:rFonts w:ascii="Assistant" w:eastAsia="DejaVu Sans" w:hAnsi="Assistant" w:cs="Times New Roman"/>
      <w:color w:val="171717" w:themeColor="background2" w:themeShade="1A"/>
      <w:kern w:val="2"/>
      <w:sz w:val="20"/>
      <w:szCs w:val="24"/>
    </w:rPr>
  </w:style>
  <w:style w:type="paragraph" w:styleId="Numerada">
    <w:name w:val="List Number"/>
    <w:basedOn w:val="Normal"/>
    <w:uiPriority w:val="99"/>
    <w:rsid w:val="008A42D2"/>
    <w:pPr>
      <w:numPr>
        <w:numId w:val="2"/>
      </w:numPr>
      <w:spacing w:after="120" w:line="240" w:lineRule="auto"/>
      <w:contextualSpacing/>
    </w:pPr>
  </w:style>
  <w:style w:type="character" w:styleId="nfaseSutil">
    <w:name w:val="Subtle Emphasis"/>
    <w:basedOn w:val="Fontepargpadro"/>
    <w:uiPriority w:val="19"/>
    <w:qFormat/>
    <w:rsid w:val="00002131"/>
    <w:rPr>
      <w:i/>
      <w:iCs/>
      <w:color w:val="404040" w:themeColor="text1" w:themeTint="BF"/>
    </w:rPr>
  </w:style>
  <w:style w:type="paragraph" w:customStyle="1" w:styleId="Jurisprudncia">
    <w:name w:val="Jurisprudência"/>
    <w:basedOn w:val="SemEspaamento"/>
    <w:link w:val="JurisprudnciaChar"/>
    <w:qFormat/>
    <w:rsid w:val="00002131"/>
    <w:pPr>
      <w:ind w:left="2410"/>
    </w:pPr>
    <w:rPr>
      <w:rFonts w:eastAsiaTheme="minorHAnsi" w:cstheme="minorBidi"/>
      <w:bCs/>
      <w:color w:val="auto"/>
      <w:kern w:val="0"/>
      <w:sz w:val="20"/>
      <w:szCs w:val="22"/>
    </w:rPr>
  </w:style>
  <w:style w:type="character" w:customStyle="1" w:styleId="JurisprudnciaChar">
    <w:name w:val="Jurisprudência Char"/>
    <w:basedOn w:val="Fontepargpadro"/>
    <w:link w:val="Jurisprudncia"/>
    <w:rsid w:val="00002131"/>
    <w:rPr>
      <w:rFonts w:ascii="Avenir Next LT Pro" w:hAnsi="Avenir Next LT Pro"/>
      <w:bCs/>
      <w:sz w:val="20"/>
    </w:rPr>
  </w:style>
  <w:style w:type="character" w:customStyle="1" w:styleId="qowt-font5-calibri">
    <w:name w:val="qowt-font5-calibri"/>
    <w:basedOn w:val="Fontepargpadro"/>
    <w:rsid w:val="00002131"/>
  </w:style>
  <w:style w:type="paragraph" w:customStyle="1" w:styleId="x-scope">
    <w:name w:val="x-scope"/>
    <w:basedOn w:val="Normal"/>
    <w:rsid w:val="00002131"/>
    <w:pPr>
      <w:spacing w:before="100" w:beforeAutospacing="1" w:after="100" w:afterAutospacing="1" w:line="240" w:lineRule="auto"/>
      <w:jc w:val="left"/>
    </w:pPr>
    <w:rPr>
      <w:rFonts w:ascii="Times New Roman" w:eastAsia="Times New Roman" w:hAnsi="Times New Roman"/>
      <w:color w:val="auto"/>
      <w:kern w:val="0"/>
      <w:lang w:eastAsia="pt-BR"/>
    </w:rPr>
  </w:style>
  <w:style w:type="character" w:customStyle="1" w:styleId="qowt-font2-timesnewroman">
    <w:name w:val="qowt-font2-timesnewroman"/>
    <w:basedOn w:val="Fontepargpadro"/>
    <w:rsid w:val="00002131"/>
  </w:style>
  <w:style w:type="paragraph" w:styleId="SemEspaamento">
    <w:name w:val="No Spacing"/>
    <w:uiPriority w:val="1"/>
    <w:qFormat/>
    <w:rsid w:val="00002131"/>
    <w:pPr>
      <w:spacing w:after="0" w:line="240" w:lineRule="auto"/>
      <w:jc w:val="both"/>
    </w:pPr>
    <w:rPr>
      <w:rFonts w:ascii="Avenir Next LT Pro" w:eastAsia="DejaVu Sans" w:hAnsi="Avenir Next LT Pro" w:cs="Times New Roman"/>
      <w:color w:val="000000" w:themeColor="text1"/>
      <w:kern w:val="2"/>
      <w:sz w:val="24"/>
      <w:szCs w:val="24"/>
    </w:rPr>
  </w:style>
  <w:style w:type="character" w:styleId="MenoPendente">
    <w:name w:val="Unresolved Mention"/>
    <w:basedOn w:val="Fontepargpadro"/>
    <w:uiPriority w:val="99"/>
    <w:semiHidden/>
    <w:unhideWhenUsed/>
    <w:rsid w:val="003B478D"/>
    <w:rPr>
      <w:color w:val="605E5C"/>
      <w:shd w:val="clear" w:color="auto" w:fill="E1DFDD"/>
    </w:rPr>
  </w:style>
  <w:style w:type="character" w:customStyle="1" w:styleId="qowt-font11-centurygothic">
    <w:name w:val="qowt-font11-centurygothic"/>
    <w:basedOn w:val="Fontepargpadro"/>
    <w:rsid w:val="009D73CA"/>
  </w:style>
  <w:style w:type="paragraph" w:styleId="NormalWeb">
    <w:name w:val="Normal (Web)"/>
    <w:basedOn w:val="Normal"/>
    <w:uiPriority w:val="99"/>
    <w:semiHidden/>
    <w:unhideWhenUsed/>
    <w:rsid w:val="00517036"/>
    <w:pPr>
      <w:spacing w:before="100" w:beforeAutospacing="1" w:after="100" w:afterAutospacing="1" w:line="240" w:lineRule="auto"/>
      <w:jc w:val="left"/>
    </w:pPr>
    <w:rPr>
      <w:rFonts w:ascii="Times New Roman" w:eastAsia="Times New Roman" w:hAnsi="Times New Roman"/>
      <w:color w:val="auto"/>
      <w:kern w:val="0"/>
      <w:lang w:eastAsia="pt-BR"/>
    </w:rPr>
  </w:style>
  <w:style w:type="character" w:customStyle="1" w:styleId="Ttulo3Char">
    <w:name w:val="Título 3 Char"/>
    <w:basedOn w:val="Fontepargpadro"/>
    <w:link w:val="Ttulo3"/>
    <w:uiPriority w:val="9"/>
    <w:semiHidden/>
    <w:rsid w:val="00784009"/>
    <w:rPr>
      <w:rFonts w:asciiTheme="majorHAnsi" w:eastAsiaTheme="majorEastAsia" w:hAnsiTheme="majorHAnsi" w:cstheme="majorBidi"/>
      <w:color w:val="1F3763" w:themeColor="accent1" w:themeShade="7F"/>
      <w:kern w:val="2"/>
      <w:sz w:val="24"/>
      <w:szCs w:val="24"/>
    </w:rPr>
  </w:style>
  <w:style w:type="character" w:customStyle="1" w:styleId="Ttulo4Char">
    <w:name w:val="Título 4 Char"/>
    <w:basedOn w:val="Fontepargpadro"/>
    <w:link w:val="Ttulo4"/>
    <w:uiPriority w:val="9"/>
    <w:semiHidden/>
    <w:rsid w:val="00784009"/>
    <w:rPr>
      <w:rFonts w:asciiTheme="majorHAnsi" w:eastAsiaTheme="majorEastAsia" w:hAnsiTheme="majorHAnsi" w:cstheme="majorBidi"/>
      <w:i/>
      <w:iCs/>
      <w:color w:val="2F5496" w:themeColor="accent1" w:themeShade="BF"/>
      <w:kern w:val="2"/>
      <w:sz w:val="24"/>
      <w:szCs w:val="24"/>
    </w:rPr>
  </w:style>
  <w:style w:type="character" w:customStyle="1" w:styleId="Ttulo5Char">
    <w:name w:val="Título 5 Char"/>
    <w:basedOn w:val="Fontepargpadro"/>
    <w:link w:val="Ttulo5"/>
    <w:uiPriority w:val="9"/>
    <w:semiHidden/>
    <w:rsid w:val="00784009"/>
    <w:rPr>
      <w:rFonts w:asciiTheme="majorHAnsi" w:eastAsiaTheme="majorEastAsia" w:hAnsiTheme="majorHAnsi" w:cstheme="majorBidi"/>
      <w:color w:val="2F5496" w:themeColor="accent1" w:themeShade="BF"/>
      <w:kern w:val="2"/>
      <w:sz w:val="24"/>
      <w:szCs w:val="24"/>
    </w:rPr>
  </w:style>
  <w:style w:type="character" w:customStyle="1" w:styleId="Ttulo6Char">
    <w:name w:val="Título 6 Char"/>
    <w:basedOn w:val="Fontepargpadro"/>
    <w:link w:val="Ttulo6"/>
    <w:uiPriority w:val="9"/>
    <w:semiHidden/>
    <w:rsid w:val="00784009"/>
    <w:rPr>
      <w:rFonts w:asciiTheme="majorHAnsi" w:eastAsiaTheme="majorEastAsia" w:hAnsiTheme="majorHAnsi" w:cstheme="majorBidi"/>
      <w:color w:val="1F3763" w:themeColor="accent1" w:themeShade="7F"/>
      <w:kern w:val="2"/>
      <w:sz w:val="24"/>
      <w:szCs w:val="24"/>
    </w:rPr>
  </w:style>
  <w:style w:type="character" w:customStyle="1" w:styleId="Ttulo7Char">
    <w:name w:val="Título 7 Char"/>
    <w:basedOn w:val="Fontepargpadro"/>
    <w:link w:val="Ttulo7"/>
    <w:uiPriority w:val="9"/>
    <w:semiHidden/>
    <w:rsid w:val="00784009"/>
    <w:rPr>
      <w:rFonts w:asciiTheme="majorHAnsi" w:eastAsiaTheme="majorEastAsia" w:hAnsiTheme="majorHAnsi" w:cstheme="majorBidi"/>
      <w:i/>
      <w:iCs/>
      <w:color w:val="1F3763" w:themeColor="accent1" w:themeShade="7F"/>
      <w:kern w:val="2"/>
      <w:sz w:val="24"/>
      <w:szCs w:val="24"/>
    </w:rPr>
  </w:style>
  <w:style w:type="character" w:customStyle="1" w:styleId="Ttulo8Char">
    <w:name w:val="Título 8 Char"/>
    <w:basedOn w:val="Fontepargpadro"/>
    <w:link w:val="Ttulo8"/>
    <w:uiPriority w:val="9"/>
    <w:semiHidden/>
    <w:rsid w:val="00784009"/>
    <w:rPr>
      <w:rFonts w:asciiTheme="majorHAnsi" w:eastAsiaTheme="majorEastAsia" w:hAnsiTheme="majorHAnsi" w:cstheme="majorBidi"/>
      <w:color w:val="272727" w:themeColor="text1" w:themeTint="D8"/>
      <w:kern w:val="2"/>
      <w:sz w:val="21"/>
      <w:szCs w:val="21"/>
    </w:rPr>
  </w:style>
  <w:style w:type="character" w:customStyle="1" w:styleId="Ttulo9Char">
    <w:name w:val="Título 9 Char"/>
    <w:basedOn w:val="Fontepargpadro"/>
    <w:link w:val="Ttulo9"/>
    <w:uiPriority w:val="9"/>
    <w:semiHidden/>
    <w:rsid w:val="00784009"/>
    <w:rPr>
      <w:rFonts w:asciiTheme="majorHAnsi" w:eastAsiaTheme="majorEastAsia" w:hAnsiTheme="majorHAnsi" w:cstheme="majorBidi"/>
      <w:i/>
      <w:iCs/>
      <w:color w:val="272727" w:themeColor="text1" w:themeTint="D8"/>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17573">
      <w:bodyDiv w:val="1"/>
      <w:marLeft w:val="0"/>
      <w:marRight w:val="0"/>
      <w:marTop w:val="0"/>
      <w:marBottom w:val="0"/>
      <w:divBdr>
        <w:top w:val="none" w:sz="0" w:space="0" w:color="auto"/>
        <w:left w:val="none" w:sz="0" w:space="0" w:color="auto"/>
        <w:bottom w:val="none" w:sz="0" w:space="0" w:color="auto"/>
        <w:right w:val="none" w:sz="0" w:space="0" w:color="auto"/>
      </w:divBdr>
      <w:divsChild>
        <w:div w:id="1430616997">
          <w:marLeft w:val="0"/>
          <w:marRight w:val="0"/>
          <w:marTop w:val="120"/>
          <w:marBottom w:val="0"/>
          <w:divBdr>
            <w:top w:val="none" w:sz="0" w:space="0" w:color="auto"/>
            <w:left w:val="none" w:sz="0" w:space="0" w:color="auto"/>
            <w:bottom w:val="none" w:sz="0" w:space="0" w:color="auto"/>
            <w:right w:val="none" w:sz="0" w:space="0" w:color="auto"/>
          </w:divBdr>
        </w:div>
        <w:div w:id="635650279">
          <w:marLeft w:val="720"/>
          <w:marRight w:val="0"/>
          <w:marTop w:val="120"/>
          <w:marBottom w:val="0"/>
          <w:divBdr>
            <w:top w:val="none" w:sz="0" w:space="0" w:color="auto"/>
            <w:left w:val="none" w:sz="0" w:space="0" w:color="auto"/>
            <w:bottom w:val="none" w:sz="0" w:space="0" w:color="auto"/>
            <w:right w:val="none" w:sz="0" w:space="0" w:color="auto"/>
          </w:divBdr>
        </w:div>
        <w:div w:id="187572450">
          <w:marLeft w:val="720"/>
          <w:marRight w:val="0"/>
          <w:marTop w:val="120"/>
          <w:marBottom w:val="0"/>
          <w:divBdr>
            <w:top w:val="none" w:sz="0" w:space="0" w:color="auto"/>
            <w:left w:val="none" w:sz="0" w:space="0" w:color="auto"/>
            <w:bottom w:val="none" w:sz="0" w:space="0" w:color="auto"/>
            <w:right w:val="none" w:sz="0" w:space="0" w:color="auto"/>
          </w:divBdr>
        </w:div>
      </w:divsChild>
    </w:div>
    <w:div w:id="1772309826">
      <w:bodyDiv w:val="1"/>
      <w:marLeft w:val="0"/>
      <w:marRight w:val="0"/>
      <w:marTop w:val="0"/>
      <w:marBottom w:val="0"/>
      <w:divBdr>
        <w:top w:val="none" w:sz="0" w:space="0" w:color="auto"/>
        <w:left w:val="none" w:sz="0" w:space="0" w:color="auto"/>
        <w:bottom w:val="none" w:sz="0" w:space="0" w:color="auto"/>
        <w:right w:val="none" w:sz="0" w:space="0" w:color="auto"/>
      </w:divBdr>
    </w:div>
    <w:div w:id="1775663808">
      <w:bodyDiv w:val="1"/>
      <w:marLeft w:val="0"/>
      <w:marRight w:val="0"/>
      <w:marTop w:val="0"/>
      <w:marBottom w:val="0"/>
      <w:divBdr>
        <w:top w:val="none" w:sz="0" w:space="0" w:color="auto"/>
        <w:left w:val="none" w:sz="0" w:space="0" w:color="auto"/>
        <w:bottom w:val="none" w:sz="0" w:space="0" w:color="auto"/>
        <w:right w:val="none" w:sz="0" w:space="0" w:color="auto"/>
      </w:divBdr>
      <w:divsChild>
        <w:div w:id="1385838141">
          <w:marLeft w:val="0"/>
          <w:marRight w:val="0"/>
          <w:marTop w:val="0"/>
          <w:marBottom w:val="0"/>
          <w:divBdr>
            <w:top w:val="none" w:sz="0" w:space="0" w:color="auto"/>
            <w:left w:val="none" w:sz="0" w:space="0" w:color="auto"/>
            <w:bottom w:val="none" w:sz="0" w:space="0" w:color="auto"/>
            <w:right w:val="none" w:sz="0" w:space="0" w:color="auto"/>
          </w:divBdr>
        </w:div>
        <w:div w:id="1497499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jurisprudencia/busca?q=emenda+parlamentar+em+projeto+de+lei+de+iniciativa+reserva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inh\OneDrive%20-%20JOS&#201;%20LUIZ%20CORREA%20DA%20SILVA%20SOCIEDADE%20INDIVIDUAL%20DE%20ADVOCACIA\Documentos\Modelos%20Personalizados%20do%20Office\CamaraSeteLagoas_Timbrado.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2DEC7-6293-4F73-8C17-A3E9C86BA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CamaraSeteLagoas_Timbrado</Template>
  <TotalTime>0</TotalTime>
  <Pages>4</Pages>
  <Words>1306</Words>
  <Characters>7056</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 Lima de Carvalho</dc:creator>
  <cp:keywords/>
  <dc:description/>
  <cp:lastModifiedBy>FLAVIO PIRES INCALADO</cp:lastModifiedBy>
  <cp:revision>2</cp:revision>
  <cp:lastPrinted>2023-06-26T13:37:00Z</cp:lastPrinted>
  <dcterms:created xsi:type="dcterms:W3CDTF">2023-06-26T13:49:00Z</dcterms:created>
  <dcterms:modified xsi:type="dcterms:W3CDTF">2023-06-26T13:49:00Z</dcterms:modified>
</cp:coreProperties>
</file>