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319B7E92" w14:textId="00F63FB5" w:rsidR="00030AF2" w:rsidRPr="00030AF2" w:rsidRDefault="00477333" w:rsidP="00030AF2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30AF2">
        <w:rPr>
          <w:rFonts w:ascii="Times New Roman" w:hAnsi="Times New Roman" w:cs="Times New Roman"/>
          <w:sz w:val="28"/>
          <w:szCs w:val="28"/>
        </w:rPr>
        <w:t xml:space="preserve">MATÉRIA: </w:t>
      </w:r>
      <w:r w:rsidR="006A6ED7" w:rsidRPr="00030AF2">
        <w:rPr>
          <w:rFonts w:ascii="Times New Roman" w:hAnsi="Times New Roman" w:cs="Times New Roman"/>
          <w:sz w:val="28"/>
          <w:szCs w:val="28"/>
        </w:rPr>
        <w:t>ANTE</w:t>
      </w:r>
      <w:r w:rsidRPr="00030AF2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030AF2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30AF2">
        <w:rPr>
          <w:rFonts w:ascii="Times New Roman" w:hAnsi="Times New Roman" w:cs="Times New Roman"/>
          <w:sz w:val="28"/>
          <w:szCs w:val="28"/>
        </w:rPr>
        <w:t xml:space="preserve"> </w:t>
      </w:r>
      <w:r w:rsidR="007A2E87">
        <w:rPr>
          <w:rFonts w:ascii="Times New Roman" w:hAnsi="Times New Roman" w:cs="Times New Roman"/>
          <w:sz w:val="28"/>
          <w:szCs w:val="28"/>
        </w:rPr>
        <w:t>444</w:t>
      </w:r>
      <w:r w:rsidRPr="00030AF2">
        <w:rPr>
          <w:rFonts w:ascii="Times New Roman" w:hAnsi="Times New Roman" w:cs="Times New Roman"/>
          <w:sz w:val="28"/>
          <w:szCs w:val="28"/>
        </w:rPr>
        <w:t>/202</w:t>
      </w:r>
      <w:r w:rsidR="00B92E6D" w:rsidRPr="00030AF2">
        <w:rPr>
          <w:rFonts w:ascii="Times New Roman" w:hAnsi="Times New Roman" w:cs="Times New Roman"/>
          <w:sz w:val="28"/>
          <w:szCs w:val="28"/>
        </w:rPr>
        <w:t>2</w:t>
      </w:r>
      <w:r w:rsidRPr="00030AF2">
        <w:rPr>
          <w:rFonts w:ascii="Times New Roman" w:hAnsi="Times New Roman" w:cs="Times New Roman"/>
          <w:sz w:val="28"/>
          <w:szCs w:val="28"/>
        </w:rPr>
        <w:t xml:space="preserve"> </w:t>
      </w:r>
      <w:r w:rsidRPr="00030AF2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Pr="00030AF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7A2E87" w:rsidRPr="007A2E87">
        <w:rPr>
          <w:rFonts w:ascii="Times New Roman" w:hAnsi="Times New Roman" w:cs="Times New Roman"/>
          <w:b w:val="0"/>
          <w:bCs w:val="0"/>
          <w:sz w:val="28"/>
          <w:szCs w:val="28"/>
        </w:rPr>
        <w:t>DISPÕE SOBRE O PLANO MUNICIPAL DE LEITURA, LITERATURA, LIVRO E BIBLIOTECAS DE SETE LAGOAS.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1D7E1DFE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 w:rsidRPr="007A2E87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6A6ED7" w:rsidRPr="007A2E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D56A7" w:rsidRPr="007A2E87">
        <w:rPr>
          <w:rFonts w:ascii="Times New Roman" w:hAnsi="Times New Roman" w:cs="Times New Roman"/>
          <w:b w:val="0"/>
          <w:bCs w:val="0"/>
          <w:sz w:val="28"/>
          <w:szCs w:val="28"/>
        </w:rPr>
        <w:t>RODRIGO BRAGA DA ROCHA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678FB8A6" w:rsidR="00477333" w:rsidRDefault="00477333" w:rsidP="0022120A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="006A6ED7" w:rsidRPr="006A6ED7">
        <w:rPr>
          <w:rFonts w:ascii="Times New Roman" w:hAnsi="Times New Roman" w:cs="Times New Roman"/>
          <w:sz w:val="28"/>
          <w:szCs w:val="28"/>
        </w:rPr>
        <w:t>ANTE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7A2E87">
        <w:rPr>
          <w:rFonts w:ascii="Times New Roman" w:hAnsi="Times New Roman" w:cs="Times New Roman"/>
          <w:sz w:val="28"/>
          <w:szCs w:val="28"/>
        </w:rPr>
        <w:t>444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9839DD">
        <w:rPr>
          <w:rFonts w:ascii="Times New Roman" w:hAnsi="Times New Roman" w:cs="Times New Roman"/>
          <w:sz w:val="28"/>
          <w:szCs w:val="28"/>
        </w:rPr>
        <w:t>2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30AF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A2E8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DISPÕE SOBRE O PLANO MUNICIPAL DE LEITURA, LITERATURA, LIVRO E BIBLIOTECAS DE SETE LAGOAS, </w:t>
      </w:r>
      <w:r w:rsidRPr="002212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2212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2D56A7" w:rsidRPr="0022120A">
        <w:rPr>
          <w:rFonts w:ascii="Times New Roman" w:hAnsi="Times New Roman" w:cs="Times New Roman"/>
          <w:b w:val="0"/>
          <w:bCs w:val="0"/>
          <w:sz w:val="28"/>
          <w:szCs w:val="28"/>
        </w:rPr>
        <w:t>Rodrigo Braga da Rocha</w:t>
      </w:r>
      <w:r w:rsidRPr="0022120A"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 turno</w:t>
      </w:r>
      <w:r w:rsidR="006A6ED7" w:rsidRPr="002212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2212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22120A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43EFCF73" w14:textId="61F654C1" w:rsidR="0022120A" w:rsidRDefault="0022120A" w:rsidP="0022120A"/>
    <w:p w14:paraId="421E521F" w14:textId="4DAB5DF0" w:rsidR="0022120A" w:rsidRPr="0022120A" w:rsidRDefault="0022120A" w:rsidP="0022120A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 w:rsidRPr="0022120A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61A98618" w14:textId="6AB0F2D3" w:rsidR="00477333" w:rsidRDefault="00477333" w:rsidP="003C34B0"/>
    <w:p w14:paraId="2160845C" w14:textId="77777777" w:rsidR="008116DD" w:rsidRDefault="008116DD" w:rsidP="003C34B0"/>
    <w:p w14:paraId="206A51F4" w14:textId="77777777" w:rsidR="00D71B2B" w:rsidRPr="00D71B2B" w:rsidRDefault="00D71B2B" w:rsidP="00D71B2B"/>
    <w:p w14:paraId="2DF8B85D" w14:textId="0F562510" w:rsidR="00477333" w:rsidRPr="009211FA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211FA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5DCC49D0" w:rsidR="00477333" w:rsidRPr="009211FA" w:rsidRDefault="006A6ED7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211FA">
        <w:rPr>
          <w:rFonts w:ascii="Times New Roman" w:hAnsi="Times New Roman" w:cs="Times New Roman"/>
          <w:sz w:val="24"/>
          <w:szCs w:val="24"/>
        </w:rPr>
        <w:t>ANTE</w:t>
      </w:r>
      <w:r w:rsidR="00477333" w:rsidRPr="009211FA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477333" w:rsidRPr="009211FA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477333" w:rsidRPr="009211FA">
        <w:rPr>
          <w:rFonts w:ascii="Times New Roman" w:hAnsi="Times New Roman" w:cs="Times New Roman"/>
          <w:sz w:val="24"/>
          <w:szCs w:val="24"/>
        </w:rPr>
        <w:t xml:space="preserve"> </w:t>
      </w:r>
      <w:r w:rsidR="007A2E87">
        <w:rPr>
          <w:rFonts w:ascii="Times New Roman" w:hAnsi="Times New Roman" w:cs="Times New Roman"/>
          <w:sz w:val="24"/>
          <w:szCs w:val="24"/>
        </w:rPr>
        <w:t>444</w:t>
      </w:r>
      <w:r w:rsidR="00477333" w:rsidRPr="009211FA">
        <w:rPr>
          <w:rFonts w:ascii="Times New Roman" w:hAnsi="Times New Roman" w:cs="Times New Roman"/>
          <w:sz w:val="24"/>
          <w:szCs w:val="24"/>
        </w:rPr>
        <w:t>/202</w:t>
      </w:r>
      <w:r w:rsidR="009839DD" w:rsidRPr="009211FA">
        <w:rPr>
          <w:rFonts w:ascii="Times New Roman" w:hAnsi="Times New Roman" w:cs="Times New Roman"/>
          <w:sz w:val="24"/>
          <w:szCs w:val="24"/>
        </w:rPr>
        <w:t>2</w:t>
      </w:r>
    </w:p>
    <w:p w14:paraId="6B6C4499" w14:textId="2EC604B6" w:rsidR="00477333" w:rsidRPr="009211FA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211FA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9211FA">
        <w:rPr>
          <w:rFonts w:ascii="Times New Roman" w:hAnsi="Times New Roman" w:cs="Times New Roman"/>
          <w:sz w:val="24"/>
          <w:szCs w:val="24"/>
        </w:rPr>
        <w:t xml:space="preserve">VEREADOR </w:t>
      </w:r>
      <w:r w:rsidR="002D56A7" w:rsidRPr="009211FA">
        <w:rPr>
          <w:rFonts w:ascii="Times New Roman" w:hAnsi="Times New Roman" w:cs="Times New Roman"/>
          <w:sz w:val="24"/>
          <w:szCs w:val="24"/>
        </w:rPr>
        <w:t>RODRIGO BRAGA DA ROCHA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53FDC637" w14:textId="178C601C" w:rsidR="002D56A7" w:rsidRDefault="002D56A7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4FC113" w14:textId="77777777" w:rsidR="009C47C8" w:rsidRDefault="009C47C8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F27B7" w14:textId="1DC0B5D2" w:rsidR="007A2E87" w:rsidRDefault="007A2E87" w:rsidP="007A2E87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E87">
        <w:rPr>
          <w:rFonts w:ascii="Times New Roman" w:hAnsi="Times New Roman" w:cs="Times New Roman"/>
          <w:b/>
          <w:bCs/>
          <w:sz w:val="24"/>
          <w:szCs w:val="24"/>
        </w:rPr>
        <w:t>DISPÕE SOBRE O PLANO MUNICIPAL DE LEITURA, LITERATURA, LIVRO E BIBLIOTECAS DE SETE LAGOAS.</w:t>
      </w:r>
    </w:p>
    <w:p w14:paraId="050BF4DC" w14:textId="36BD5EE9" w:rsidR="007A2E87" w:rsidRDefault="007A2E87" w:rsidP="007A2E87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ED2F5" w14:textId="77777777" w:rsidR="007A2E87" w:rsidRPr="007A2E87" w:rsidRDefault="007A2E87" w:rsidP="007A2E8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6F37D9C" w14:textId="23742586" w:rsidR="007A2E87" w:rsidRPr="007A2E87" w:rsidRDefault="007A2E87" w:rsidP="007A2E8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1º - </w:t>
      </w:r>
      <w:r w:rsidRPr="007A2E87">
        <w:rPr>
          <w:rFonts w:ascii="Times New Roman" w:hAnsi="Times New Roman" w:cs="Times New Roman"/>
          <w:sz w:val="24"/>
          <w:szCs w:val="24"/>
        </w:rPr>
        <w:t>Fica instituído o Plano Municipal de Leitura, Literatura, Livro e Bibliotecas de Sete Lagoas - PMLLLB-SL- para o decênio de 2022 - 2032, com o objetivo de promover a participação efetiva da população da cidade de Sete Lagoas na cultura letrada, nos termos especificados no Anexo desta Lei.</w:t>
      </w:r>
    </w:p>
    <w:p w14:paraId="36269341" w14:textId="77777777" w:rsidR="007A2E87" w:rsidRPr="007A2E87" w:rsidRDefault="007A2E87" w:rsidP="007A2E8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A2E87">
        <w:rPr>
          <w:rFonts w:ascii="Times New Roman" w:hAnsi="Times New Roman" w:cs="Times New Roman"/>
          <w:sz w:val="24"/>
          <w:szCs w:val="24"/>
        </w:rPr>
        <w:t>Parágrafo único. O PMLLLB-SL é um instrumento de gestão de médio e longo prazo, por meio do qual o Poder Público realizará políticas de incentivo e promoção à leitura, à literatura, ao livro e às bibliotecas.</w:t>
      </w:r>
    </w:p>
    <w:p w14:paraId="00EBE654" w14:textId="1A846CC4" w:rsidR="007A2E87" w:rsidRPr="007A2E87" w:rsidRDefault="007A2E87" w:rsidP="007A2E8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2º - </w:t>
      </w:r>
      <w:r w:rsidRPr="007A2E87">
        <w:rPr>
          <w:rFonts w:ascii="Times New Roman" w:hAnsi="Times New Roman" w:cs="Times New Roman"/>
          <w:sz w:val="24"/>
          <w:szCs w:val="24"/>
        </w:rPr>
        <w:t>São diretrizes gerais do PMLLLB-SL:</w:t>
      </w:r>
    </w:p>
    <w:p w14:paraId="74EFE374" w14:textId="77777777" w:rsidR="007A2E87" w:rsidRPr="007A2E87" w:rsidRDefault="007A2E87" w:rsidP="007A2E8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A2E87">
        <w:rPr>
          <w:rFonts w:ascii="Times New Roman" w:hAnsi="Times New Roman" w:cs="Times New Roman"/>
          <w:sz w:val="24"/>
          <w:szCs w:val="24"/>
        </w:rPr>
        <w:t>I. Valorizar a leitura e a escrita como práticas culturais, políticas e históricas, que permitem o acesso e a construção do conhecimento;</w:t>
      </w:r>
    </w:p>
    <w:p w14:paraId="31F5C929" w14:textId="77777777" w:rsidR="007A2E87" w:rsidRPr="007A2E87" w:rsidRDefault="007A2E87" w:rsidP="007A2E8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A2E87">
        <w:rPr>
          <w:rFonts w:ascii="Times New Roman" w:hAnsi="Times New Roman" w:cs="Times New Roman"/>
          <w:sz w:val="24"/>
          <w:szCs w:val="24"/>
        </w:rPr>
        <w:t>II. Promover e consolidar as bibliotecas públicas, comunitárias e escolares, estas últimas com o apoio das Assembleias Escolares, como espaços democráticos de acesso à leitura e de formação permanente, abertos à população;</w:t>
      </w:r>
    </w:p>
    <w:p w14:paraId="3D32FE30" w14:textId="77777777" w:rsidR="007A2E87" w:rsidRPr="007A2E87" w:rsidRDefault="007A2E87" w:rsidP="007A2E8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A2E87">
        <w:rPr>
          <w:rFonts w:ascii="Times New Roman" w:hAnsi="Times New Roman" w:cs="Times New Roman"/>
          <w:sz w:val="24"/>
          <w:szCs w:val="24"/>
        </w:rPr>
        <w:t>III. Valorizar a leitura literária, tendo em vista as mais distintas autorias, identidades e perspectivas de se narrar e de se compreender o mundo, em tempos e espaços diversos, por meio da cultura escrita;</w:t>
      </w:r>
    </w:p>
    <w:p w14:paraId="684E5E89" w14:textId="77777777" w:rsidR="007A2E87" w:rsidRPr="007A2E87" w:rsidRDefault="007A2E87" w:rsidP="007A2E8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A2E87">
        <w:rPr>
          <w:rFonts w:ascii="Times New Roman" w:hAnsi="Times New Roman" w:cs="Times New Roman"/>
          <w:sz w:val="24"/>
          <w:szCs w:val="24"/>
        </w:rPr>
        <w:t>IV. Valorizar e estimular a leitura de materiais de divulgação científica, nas diversas áreas do conhecimento;</w:t>
      </w:r>
    </w:p>
    <w:p w14:paraId="218DAB94" w14:textId="77777777" w:rsidR="007A2E87" w:rsidRPr="007A2E87" w:rsidRDefault="007A2E87" w:rsidP="007A2E8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A2E87">
        <w:rPr>
          <w:rFonts w:ascii="Times New Roman" w:hAnsi="Times New Roman" w:cs="Times New Roman"/>
          <w:sz w:val="24"/>
          <w:szCs w:val="24"/>
        </w:rPr>
        <w:t>V. Garantir acessibilidade às pessoas com deficiência e necessidades especiais em bibliotecas, eventos, concursos, cursos e atividades para a promoção da leitura, bem como a oferta de materiais de leitura acessíveis;</w:t>
      </w:r>
    </w:p>
    <w:p w14:paraId="52FBFF44" w14:textId="77777777" w:rsidR="007A2E87" w:rsidRPr="007A2E87" w:rsidRDefault="007A2E87" w:rsidP="007A2E8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A2E87">
        <w:rPr>
          <w:rFonts w:ascii="Times New Roman" w:hAnsi="Times New Roman" w:cs="Times New Roman"/>
          <w:sz w:val="24"/>
          <w:szCs w:val="24"/>
        </w:rPr>
        <w:t>VI. Observar o princípio da diversidade na formação dos acervos bibliográficos das bibliotecas escolares, públicas e comunitárias;</w:t>
      </w:r>
    </w:p>
    <w:p w14:paraId="287CBDE1" w14:textId="77777777" w:rsidR="007A2E87" w:rsidRPr="007A2E87" w:rsidRDefault="007A2E87" w:rsidP="007A2E8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A2E87">
        <w:rPr>
          <w:rFonts w:ascii="Times New Roman" w:hAnsi="Times New Roman" w:cs="Times New Roman"/>
          <w:sz w:val="24"/>
          <w:szCs w:val="24"/>
        </w:rPr>
        <w:t xml:space="preserve">VII. Valorizar o professor e o bibliotecário como protagonistas no processo de formação de leitores; </w:t>
      </w:r>
    </w:p>
    <w:p w14:paraId="548D22F9" w14:textId="77777777" w:rsidR="007A2E87" w:rsidRPr="007A2E87" w:rsidRDefault="007A2E87" w:rsidP="007A2E8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A2E87">
        <w:rPr>
          <w:rFonts w:ascii="Times New Roman" w:hAnsi="Times New Roman" w:cs="Times New Roman"/>
          <w:sz w:val="24"/>
          <w:szCs w:val="24"/>
        </w:rPr>
        <w:t>VIII. Valorizar e reconhecer os mediadores de leitura como profissionais que trabalham com a formação de leitores;</w:t>
      </w:r>
    </w:p>
    <w:p w14:paraId="45839A2D" w14:textId="77777777" w:rsidR="007A2E87" w:rsidRPr="007A2E87" w:rsidRDefault="007A2E87" w:rsidP="007A2E8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A2E87">
        <w:rPr>
          <w:rFonts w:ascii="Times New Roman" w:hAnsi="Times New Roman" w:cs="Times New Roman"/>
          <w:sz w:val="24"/>
          <w:szCs w:val="24"/>
        </w:rPr>
        <w:lastRenderedPageBreak/>
        <w:t>IX. Valorizar os escritores, os ilustradores e os tradutores como profissionais da criação no processo de produção do livro;</w:t>
      </w:r>
    </w:p>
    <w:p w14:paraId="64BE8384" w14:textId="77777777" w:rsidR="007A2E87" w:rsidRPr="007A2E87" w:rsidRDefault="007A2E87" w:rsidP="007A2E8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A2E87">
        <w:rPr>
          <w:rFonts w:ascii="Times New Roman" w:hAnsi="Times New Roman" w:cs="Times New Roman"/>
          <w:sz w:val="24"/>
          <w:szCs w:val="24"/>
        </w:rPr>
        <w:t>X. Realizar eventos que promovam e divulguem o livro e a literatura, bem como os seus profissionais.</w:t>
      </w:r>
    </w:p>
    <w:p w14:paraId="7BC8509E" w14:textId="3AAAA06E" w:rsidR="007A2E87" w:rsidRPr="007A2E87" w:rsidRDefault="007A2E87" w:rsidP="007A2E8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3º - </w:t>
      </w:r>
      <w:r w:rsidRPr="007A2E87">
        <w:rPr>
          <w:rFonts w:ascii="Times New Roman" w:hAnsi="Times New Roman" w:cs="Times New Roman"/>
          <w:sz w:val="24"/>
          <w:szCs w:val="24"/>
        </w:rPr>
        <w:t>Caberá à Secretaria Municipal de Cultura com o apoio da Secretaria de Educação coordenar e executar o PMLLLB-SL, bem como promoção de sua revisão sistemática, pelo menos a cada dois anos, das estratégias e das ações, com ampla participação do Poder Público e da sociedade civil.</w:t>
      </w:r>
    </w:p>
    <w:p w14:paraId="4EC9AC4B" w14:textId="4C616196" w:rsidR="007A2E87" w:rsidRPr="007A2E87" w:rsidRDefault="007A2E87" w:rsidP="007A2E8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4º - </w:t>
      </w:r>
      <w:r w:rsidRPr="007A2E87">
        <w:rPr>
          <w:rFonts w:ascii="Times New Roman" w:hAnsi="Times New Roman" w:cs="Times New Roman"/>
          <w:sz w:val="24"/>
          <w:szCs w:val="24"/>
        </w:rPr>
        <w:t>O Poder Executivo Municipal poderá elaborar estudo de impacto sócio econômico desta Lei sobre a Lei Orçamentária Anual e apresentá-la perante o Legislativo Municipal para adequação e posterior regulamentação pelo Executivo Municipal.</w:t>
      </w:r>
    </w:p>
    <w:p w14:paraId="29E38C7E" w14:textId="44CE58ED" w:rsidR="007A2E87" w:rsidRPr="007A2E87" w:rsidRDefault="007A2E87" w:rsidP="007A2E8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5º - </w:t>
      </w:r>
      <w:r w:rsidRPr="007A2E87">
        <w:rPr>
          <w:rFonts w:ascii="Times New Roman" w:hAnsi="Times New Roman" w:cs="Times New Roman"/>
          <w:sz w:val="24"/>
          <w:szCs w:val="24"/>
        </w:rPr>
        <w:t>O Poder Executivo Municipal fica autorizado a firmar convênios e parcerias com instituições públicas, com entidades e empresas privadas, a fim de realizar os objetivos e as ações previstas nesta Lei.</w:t>
      </w:r>
    </w:p>
    <w:p w14:paraId="1991900C" w14:textId="671AB05C" w:rsidR="007A2E87" w:rsidRPr="007A2E87" w:rsidRDefault="007A2E87" w:rsidP="007A2E8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6º - </w:t>
      </w:r>
      <w:r w:rsidRPr="007A2E87">
        <w:rPr>
          <w:rFonts w:ascii="Times New Roman" w:hAnsi="Times New Roman" w:cs="Times New Roman"/>
          <w:sz w:val="24"/>
          <w:szCs w:val="24"/>
        </w:rPr>
        <w:t>As despesas decorrentes da aplicação desta Lei correrão à conta de recursos da SECRETARIA MUNICIPAL DE CULTURA E JUVENTUDE, proveniente da seguinte dotação orçamentária e aquela a esta correspondente no exercício subsequente: 15.1.13.392.2086.2659 INCENTIVO À DIFUSÃO CULTURAL E À ECONOMIA CRIATIVA.</w:t>
      </w:r>
    </w:p>
    <w:p w14:paraId="004FE0C6" w14:textId="370A58B6" w:rsidR="007A2E87" w:rsidRPr="007A2E87" w:rsidRDefault="007A2E87" w:rsidP="007A2E8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7º - </w:t>
      </w:r>
      <w:r w:rsidRPr="007A2E87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58ADC25B" w14:textId="77777777" w:rsidR="009C47C8" w:rsidRDefault="009C47C8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7BD69F" w14:textId="77777777" w:rsidR="008C748B" w:rsidRPr="009839DD" w:rsidRDefault="008C748B" w:rsidP="009839D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6E89BA7F" w:rsidR="00477333" w:rsidRPr="00D71B2B" w:rsidRDefault="00477333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9C47C8">
        <w:rPr>
          <w:rFonts w:ascii="Times New Roman" w:hAnsi="Times New Roman" w:cs="Times New Roman"/>
          <w:sz w:val="24"/>
          <w:szCs w:val="24"/>
        </w:rPr>
        <w:t>1</w:t>
      </w:r>
      <w:r w:rsidR="007A2E87">
        <w:rPr>
          <w:rFonts w:ascii="Times New Roman" w:hAnsi="Times New Roman" w:cs="Times New Roman"/>
          <w:sz w:val="24"/>
          <w:szCs w:val="24"/>
        </w:rPr>
        <w:t>2</w:t>
      </w:r>
      <w:r w:rsidR="009C47C8">
        <w:rPr>
          <w:rFonts w:ascii="Times New Roman" w:hAnsi="Times New Roman" w:cs="Times New Roman"/>
          <w:sz w:val="24"/>
          <w:szCs w:val="24"/>
        </w:rPr>
        <w:t xml:space="preserve"> de </w:t>
      </w:r>
      <w:r w:rsidR="007A2E87">
        <w:rPr>
          <w:rFonts w:ascii="Times New Roman" w:hAnsi="Times New Roman" w:cs="Times New Roman"/>
          <w:sz w:val="24"/>
          <w:szCs w:val="24"/>
        </w:rPr>
        <w:t>abril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659436B9" w14:textId="77777777" w:rsidR="008C748B" w:rsidRDefault="008C748B" w:rsidP="00507F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89A4AD" w14:textId="77777777" w:rsidR="008D70C2" w:rsidRDefault="008D70C2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6A5E97" w14:textId="77777777" w:rsidR="009C47C8" w:rsidRPr="00B352A1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25BBA724" w14:textId="77777777" w:rsidR="009C47C8" w:rsidRPr="00B352A1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B07D337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63EB53A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EBB6085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57277C0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5368EBBF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7B28E6E9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B2F6164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B83723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27EC4B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1FA0C407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758CFEA8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126320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719247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05647D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JANDERSON DE AVELAR OLIVEIRA</w:t>
      </w:r>
    </w:p>
    <w:p w14:paraId="76ED002D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572CB998" w14:textId="1AFEF3AF" w:rsidR="00477333" w:rsidRPr="003C34B0" w:rsidRDefault="00477333" w:rsidP="00D71B2B">
      <w:pPr>
        <w:pStyle w:val="SemEspaamento"/>
        <w:jc w:val="center"/>
      </w:pP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E8547" w14:textId="77777777" w:rsidR="00A03267" w:rsidRDefault="00A03267" w:rsidP="003C34B0">
      <w:pPr>
        <w:spacing w:after="0" w:line="240" w:lineRule="auto"/>
      </w:pPr>
      <w:r>
        <w:separator/>
      </w:r>
    </w:p>
  </w:endnote>
  <w:endnote w:type="continuationSeparator" w:id="0">
    <w:p w14:paraId="65DB7781" w14:textId="77777777" w:rsidR="00A03267" w:rsidRDefault="00A03267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ABBB7" w14:textId="77777777" w:rsidR="00A03267" w:rsidRDefault="00A03267" w:rsidP="003C34B0">
      <w:pPr>
        <w:spacing w:after="0" w:line="240" w:lineRule="auto"/>
      </w:pPr>
      <w:r>
        <w:separator/>
      </w:r>
    </w:p>
  </w:footnote>
  <w:footnote w:type="continuationSeparator" w:id="0">
    <w:p w14:paraId="5B0B6A06" w14:textId="77777777" w:rsidR="00A03267" w:rsidRDefault="00A03267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2AE25C8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0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614B"/>
    <w:rsid w:val="00030AF2"/>
    <w:rsid w:val="000622DF"/>
    <w:rsid w:val="001020E1"/>
    <w:rsid w:val="00204839"/>
    <w:rsid w:val="0020787F"/>
    <w:rsid w:val="0022120A"/>
    <w:rsid w:val="00234942"/>
    <w:rsid w:val="00236C87"/>
    <w:rsid w:val="002D56A7"/>
    <w:rsid w:val="003C34B0"/>
    <w:rsid w:val="00453EE3"/>
    <w:rsid w:val="00477333"/>
    <w:rsid w:val="00481FA3"/>
    <w:rsid w:val="004C700D"/>
    <w:rsid w:val="004F346E"/>
    <w:rsid w:val="00507FA4"/>
    <w:rsid w:val="005A7327"/>
    <w:rsid w:val="005A7D3A"/>
    <w:rsid w:val="006142C3"/>
    <w:rsid w:val="0065678A"/>
    <w:rsid w:val="006929C9"/>
    <w:rsid w:val="006A6ED7"/>
    <w:rsid w:val="00784691"/>
    <w:rsid w:val="007A2E87"/>
    <w:rsid w:val="008116DD"/>
    <w:rsid w:val="00814A82"/>
    <w:rsid w:val="008A6EB7"/>
    <w:rsid w:val="008C748B"/>
    <w:rsid w:val="008D70C2"/>
    <w:rsid w:val="009211FA"/>
    <w:rsid w:val="00924F00"/>
    <w:rsid w:val="009254A1"/>
    <w:rsid w:val="009839DD"/>
    <w:rsid w:val="009C47C8"/>
    <w:rsid w:val="00A03267"/>
    <w:rsid w:val="00AB6010"/>
    <w:rsid w:val="00B00A8A"/>
    <w:rsid w:val="00B22F20"/>
    <w:rsid w:val="00B92E6D"/>
    <w:rsid w:val="00C03D1D"/>
    <w:rsid w:val="00C479AF"/>
    <w:rsid w:val="00C9629F"/>
    <w:rsid w:val="00CA50BF"/>
    <w:rsid w:val="00CC2317"/>
    <w:rsid w:val="00D315E0"/>
    <w:rsid w:val="00D47EDC"/>
    <w:rsid w:val="00D66DEA"/>
    <w:rsid w:val="00D71B2B"/>
    <w:rsid w:val="00E05552"/>
    <w:rsid w:val="00E4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2D56A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2D56A7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2D56A7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2D56A7"/>
    <w:rPr>
      <w:rFonts w:ascii="Arial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53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B114C-8B2A-401D-A232-FB2FEA884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2023-04-12T14:18:00Z</cp:lastPrinted>
  <dcterms:created xsi:type="dcterms:W3CDTF">2023-04-12T14:18:00Z</dcterms:created>
  <dcterms:modified xsi:type="dcterms:W3CDTF">2023-04-12T14:18:00Z</dcterms:modified>
</cp:coreProperties>
</file>