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89D4494" w14:textId="7A3AAB8A" w:rsidR="00A72323" w:rsidRPr="00A72323" w:rsidRDefault="00622A9B" w:rsidP="00A72323">
      <w:pPr>
        <w:pStyle w:val="SemEspaamen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072">
        <w:rPr>
          <w:rFonts w:ascii="Times New Roman" w:hAnsi="Times New Roman" w:cs="Times New Roman"/>
          <w:b/>
          <w:bCs/>
          <w:sz w:val="24"/>
          <w:szCs w:val="24"/>
        </w:rPr>
        <w:t>236</w:t>
      </w:r>
      <w:r w:rsidR="00A72323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207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A72323" w:rsidRPr="00A72323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2B2072">
        <w:rPr>
          <w:rFonts w:ascii="Times New Roman" w:hAnsi="Times New Roman" w:cs="Times New Roman"/>
          <w:sz w:val="24"/>
          <w:szCs w:val="24"/>
        </w:rPr>
        <w:t>O INCENTIVO À APRENDIZAGEM E PRÁTICA DO PARADESPORTO NO MUNICÍPIO DE SETE LAGOAS.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6166BFA8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741424">
        <w:rPr>
          <w:rFonts w:ascii="Times New Roman" w:hAnsi="Times New Roman" w:cs="Times New Roman"/>
          <w:sz w:val="24"/>
          <w:szCs w:val="24"/>
        </w:rPr>
        <w:t xml:space="preserve"> </w:t>
      </w:r>
      <w:r w:rsidR="00A72323">
        <w:rPr>
          <w:rFonts w:ascii="Times New Roman" w:hAnsi="Times New Roman" w:cs="Times New Roman"/>
          <w:sz w:val="24"/>
          <w:szCs w:val="24"/>
        </w:rPr>
        <w:t>RO</w:t>
      </w:r>
      <w:r w:rsidR="002B2072">
        <w:rPr>
          <w:rFonts w:ascii="Times New Roman" w:hAnsi="Times New Roman" w:cs="Times New Roman"/>
          <w:sz w:val="24"/>
          <w:szCs w:val="24"/>
        </w:rPr>
        <w:t>NEY GERALDO GOMES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C3C95B7" w:rsidR="00622A9B" w:rsidRPr="00741424" w:rsidRDefault="00622A9B" w:rsidP="00741424">
      <w:pPr>
        <w:spacing w:after="0"/>
        <w:ind w:firstLine="2268"/>
        <w:jc w:val="both"/>
        <w:rPr>
          <w:rFonts w:ascii="Arial" w:hAnsi="Arial" w:cs="Arial"/>
          <w:b/>
          <w:bCs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072">
        <w:rPr>
          <w:rFonts w:ascii="Times New Roman" w:hAnsi="Times New Roman" w:cs="Times New Roman"/>
          <w:b/>
          <w:bCs/>
          <w:sz w:val="24"/>
          <w:szCs w:val="24"/>
        </w:rPr>
        <w:t>236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232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72323" w:rsidRPr="00A72323">
        <w:rPr>
          <w:rFonts w:ascii="Times New Roman" w:hAnsi="Times New Roman" w:cs="Times New Roman"/>
          <w:sz w:val="24"/>
          <w:szCs w:val="24"/>
        </w:rPr>
        <w:t xml:space="preserve"> </w:t>
      </w:r>
      <w:r w:rsidR="00A72323" w:rsidRPr="00A72323">
        <w:rPr>
          <w:rFonts w:ascii="Times New Roman" w:hAnsi="Times New Roman" w:cs="Times New Roman"/>
          <w:sz w:val="24"/>
          <w:szCs w:val="24"/>
        </w:rPr>
        <w:t>DISPÕE SOBRE A OBRIGATORIEDADE DO USO DE DISPOSITIVO DE RASTREAMENTO NOS VEÍCULOS OFICIAIS DO EXECUTIVO E LEGISLATIVO DO MUNICÍPIO DE SETE LAGOAS - MG E DÁ OUTRAS PROVIDÊNCIAS</w:t>
      </w:r>
      <w:r w:rsidR="00A72323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BD52AD">
        <w:rPr>
          <w:rFonts w:ascii="Times New Roman" w:hAnsi="Times New Roman" w:cs="Times New Roman"/>
          <w:sz w:val="28"/>
          <w:szCs w:val="28"/>
        </w:rPr>
        <w:t>r</w:t>
      </w:r>
      <w:r w:rsidR="00C7052B">
        <w:rPr>
          <w:rFonts w:ascii="Times New Roman" w:hAnsi="Times New Roman" w:cs="Times New Roman"/>
          <w:sz w:val="28"/>
          <w:szCs w:val="28"/>
        </w:rPr>
        <w:t xml:space="preserve"> </w:t>
      </w:r>
      <w:r w:rsidR="00A72323">
        <w:rPr>
          <w:rFonts w:ascii="Times New Roman" w:hAnsi="Times New Roman" w:cs="Times New Roman"/>
          <w:sz w:val="28"/>
          <w:szCs w:val="28"/>
        </w:rPr>
        <w:t>Ro</w:t>
      </w:r>
      <w:r w:rsidR="002B2072">
        <w:rPr>
          <w:rFonts w:ascii="Times New Roman" w:hAnsi="Times New Roman" w:cs="Times New Roman"/>
          <w:sz w:val="28"/>
          <w:szCs w:val="28"/>
        </w:rPr>
        <w:t>ney Geraldo Gomes</w:t>
      </w:r>
      <w:r w:rsidR="00A72323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90651C8" w14:textId="77777777" w:rsidR="00741424" w:rsidRDefault="0074142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8233EDF" w14:textId="5B2FE659" w:rsidR="00C7052B" w:rsidRDefault="00C7052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7A4CF67" w14:textId="6B488178" w:rsidR="00C7052B" w:rsidRDefault="00C7052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79BB953" w14:textId="77777777" w:rsidR="002B2072" w:rsidRDefault="002B2072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1642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1642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5E9B1C7B" w:rsidR="00622A9B" w:rsidRPr="0041642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1642E">
        <w:rPr>
          <w:rFonts w:ascii="Times New Roman" w:hAnsi="Times New Roman" w:cs="Times New Roman"/>
          <w:sz w:val="24"/>
          <w:szCs w:val="24"/>
        </w:rPr>
        <w:t>ANTE</w:t>
      </w:r>
      <w:r w:rsidR="00622A9B" w:rsidRPr="0041642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1642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1642E">
        <w:rPr>
          <w:rFonts w:ascii="Times New Roman" w:hAnsi="Times New Roman" w:cs="Times New Roman"/>
          <w:sz w:val="24"/>
          <w:szCs w:val="24"/>
        </w:rPr>
        <w:t xml:space="preserve"> </w:t>
      </w:r>
      <w:r w:rsidR="002B2072">
        <w:rPr>
          <w:rFonts w:ascii="Times New Roman" w:hAnsi="Times New Roman" w:cs="Times New Roman"/>
          <w:sz w:val="24"/>
          <w:szCs w:val="24"/>
        </w:rPr>
        <w:t>236</w:t>
      </w:r>
      <w:r w:rsidR="00622A9B" w:rsidRPr="0041642E">
        <w:rPr>
          <w:rFonts w:ascii="Times New Roman" w:hAnsi="Times New Roman" w:cs="Times New Roman"/>
          <w:sz w:val="24"/>
          <w:szCs w:val="24"/>
        </w:rPr>
        <w:t>/202</w:t>
      </w:r>
      <w:r w:rsidR="002B2072">
        <w:rPr>
          <w:rFonts w:ascii="Times New Roman" w:hAnsi="Times New Roman" w:cs="Times New Roman"/>
          <w:sz w:val="24"/>
          <w:szCs w:val="24"/>
        </w:rPr>
        <w:t>2</w:t>
      </w:r>
      <w:r w:rsidR="00622A9B" w:rsidRPr="00416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573221B3" w:rsidR="00622A9B" w:rsidRPr="0041642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1642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1642E">
        <w:rPr>
          <w:rFonts w:ascii="Times New Roman" w:hAnsi="Times New Roman" w:cs="Times New Roman"/>
          <w:sz w:val="24"/>
          <w:szCs w:val="24"/>
        </w:rPr>
        <w:t>VEREADOR</w:t>
      </w:r>
      <w:r w:rsidR="00331B0A">
        <w:rPr>
          <w:rFonts w:ascii="Times New Roman" w:hAnsi="Times New Roman" w:cs="Times New Roman"/>
          <w:sz w:val="24"/>
          <w:szCs w:val="24"/>
        </w:rPr>
        <w:t xml:space="preserve"> </w:t>
      </w:r>
      <w:r w:rsidR="00A72323">
        <w:rPr>
          <w:rFonts w:ascii="Times New Roman" w:hAnsi="Times New Roman" w:cs="Times New Roman"/>
          <w:sz w:val="24"/>
          <w:szCs w:val="24"/>
        </w:rPr>
        <w:t>RO</w:t>
      </w:r>
      <w:r w:rsidR="002B2072">
        <w:rPr>
          <w:rFonts w:ascii="Times New Roman" w:hAnsi="Times New Roman" w:cs="Times New Roman"/>
          <w:sz w:val="24"/>
          <w:szCs w:val="24"/>
        </w:rPr>
        <w:t>NEY GERALDO GOMES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13587A11" w:rsidR="004936D7" w:rsidRPr="00741424" w:rsidRDefault="00622A9B" w:rsidP="00741424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31B31871" w14:textId="77777777" w:rsidR="00741424" w:rsidRDefault="00741424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C8969D8" w14:textId="77777777" w:rsidR="009673BE" w:rsidRPr="002B2072" w:rsidRDefault="009673BE" w:rsidP="002B2072">
      <w:pPr>
        <w:pStyle w:val="Ttulo1"/>
        <w:numPr>
          <w:ilvl w:val="0"/>
          <w:numId w:val="0"/>
        </w:numPr>
        <w:ind w:left="2268"/>
        <w:jc w:val="both"/>
        <w:rPr>
          <w:rFonts w:ascii="Times New Roman" w:eastAsia="Bitstream Vera Serif" w:hAnsi="Times New Roman" w:cs="Times New Roman"/>
          <w:sz w:val="24"/>
          <w:szCs w:val="24"/>
        </w:rPr>
      </w:pPr>
      <w:r w:rsidRPr="002B2072">
        <w:rPr>
          <w:rFonts w:ascii="Times New Roman" w:eastAsia="Bitstream Vera Serif" w:hAnsi="Times New Roman" w:cs="Times New Roman"/>
          <w:sz w:val="24"/>
          <w:szCs w:val="24"/>
        </w:rPr>
        <w:t>DISPÕE SOBRE O INCENTIVO À APRENDIZAGEM E PRÁTICA DO PARADESPORTO NO MUNICÍPIO DE SETE LAGOAS.</w:t>
      </w:r>
    </w:p>
    <w:p w14:paraId="5EAE55E3" w14:textId="77777777" w:rsidR="009673BE" w:rsidRPr="0043767B" w:rsidRDefault="009673BE" w:rsidP="009673BE">
      <w:pPr>
        <w:pStyle w:val="Recuodecorpodetexto"/>
        <w:spacing w:before="60" w:after="60" w:line="276" w:lineRule="auto"/>
        <w:ind w:left="0"/>
        <w:jc w:val="both"/>
        <w:rPr>
          <w:rFonts w:ascii="Arial" w:hAnsi="Arial" w:cs="Arial"/>
        </w:rPr>
      </w:pPr>
    </w:p>
    <w:p w14:paraId="6121DE2C" w14:textId="0A1F2D48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Art. 1º Fica instituído no âmbito do Município de Sete Lagoas, o incentivo à aprendizagem e prática do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Paradesporto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.</w:t>
      </w:r>
    </w:p>
    <w:p w14:paraId="6B552FB9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3E14C212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Art. 2° Entende-se por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Paradesporto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, para fins desta lei, todas as manifestações da prática de algum esporte por uma pessoa com deficiência, independente da modalidade escolhida do tipo ou nível da deficiência.</w:t>
      </w:r>
    </w:p>
    <w:p w14:paraId="3D65FBBD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0C775B47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Art. 3° O incentivo à aprendizagem e prática do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Paradesporto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terá como objetivos:</w:t>
      </w:r>
    </w:p>
    <w:p w14:paraId="59F56F8F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37C5A6B4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I – </w:t>
      </w:r>
      <w:proofErr w:type="gram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fomentar</w:t>
      </w:r>
      <w:proofErr w:type="gram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o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paradesporto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no município de Sete Lagoas, de modo que se crie uma cultura de respeito e valorização às pessoas com deficiência;</w:t>
      </w:r>
    </w:p>
    <w:p w14:paraId="3499147E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6FB3FC17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II – </w:t>
      </w:r>
      <w:proofErr w:type="gram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desenvolver</w:t>
      </w:r>
      <w:proofErr w:type="gram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, promover e auxiliar no desenvolvimento de habilidade motora, aptidão física, cognitiva, psicomotora, psíquicas e sociais das pessoas deficientes por meio da prática esportiva;</w:t>
      </w:r>
    </w:p>
    <w:p w14:paraId="66DAE1C9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7614B75B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III – permitir a adequação de equipamentos públicos de uso coletivo a fim de garantir acessibilidade às pessoas com deficiência ou mobilidade reduzida nas práticas esportivas, atividades físicas e de lazer;</w:t>
      </w:r>
    </w:p>
    <w:p w14:paraId="13CB0803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6EFF0892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IV – </w:t>
      </w:r>
      <w:proofErr w:type="gram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estimular</w:t>
      </w:r>
      <w:proofErr w:type="gram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a participação das pessoas com deficiência ou mobilidade reduzida em especial, crianças jovens e adolescentes em programas de estimulo a praticas saudáveis, lúdicas e de lazer esportivo em locais públicos municipais;</w:t>
      </w:r>
    </w:p>
    <w:p w14:paraId="48F8ACB2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0705F29F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V – </w:t>
      </w:r>
      <w:proofErr w:type="gram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formar</w:t>
      </w:r>
      <w:proofErr w:type="gram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paratletas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da iniciação ao alto rendimento.</w:t>
      </w:r>
    </w:p>
    <w:p w14:paraId="0A397BF5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5A551056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Art. 4° Para a consecução dos objetivos do incentivo à aprendizagem e prática do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Paradesporto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, o Município poderá:</w:t>
      </w:r>
    </w:p>
    <w:p w14:paraId="0C60A523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72ABE6C9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I – </w:t>
      </w:r>
      <w:proofErr w:type="gram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firmar</w:t>
      </w:r>
      <w:proofErr w:type="gram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convênios com clubes, associações e federações que pratiquem as atividades, para a promoção da aprendizagem e difusão da sua prática no Município de Sete Lagoas;</w:t>
      </w:r>
    </w:p>
    <w:p w14:paraId="47C19A44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6947F63F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II – </w:t>
      </w:r>
      <w:proofErr w:type="gram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firmar</w:t>
      </w:r>
      <w:proofErr w:type="gram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convênios com organizações não governamentais, legalmente instituídas, visando à implementação de projetos para a promoção, ensino e difusão do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Paradesporto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, voltado para as comunidades carentes do Município;</w:t>
      </w:r>
    </w:p>
    <w:p w14:paraId="3CCEBE2F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lastRenderedPageBreak/>
        <w:t>III – firmar convênios com instituições de ensino superior visando pesquisas e desenvolvimento de tecnologias e produtos educacionais para o desenvolvimento do programa.</w:t>
      </w:r>
    </w:p>
    <w:p w14:paraId="6262E18C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067394D9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Art. 5° O Município promoverá anualmente eventos e competições do </w:t>
      </w:r>
      <w:proofErr w:type="spellStart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Paradesporto</w:t>
      </w:r>
      <w:proofErr w:type="spellEnd"/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 xml:space="preserve"> de base popular e rendimento.</w:t>
      </w:r>
    </w:p>
    <w:p w14:paraId="1B220C45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043D78D4" w14:textId="77777777" w:rsidR="009673BE" w:rsidRPr="009673BE" w:rsidRDefault="009673BE" w:rsidP="009673BE">
      <w:pPr>
        <w:pStyle w:val="Standard"/>
        <w:ind w:firstLine="2268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9673BE">
        <w:rPr>
          <w:rFonts w:ascii="Times New Roman" w:eastAsia="Calibri" w:hAnsi="Times New Roman" w:cs="Times New Roman"/>
          <w:bCs/>
          <w:kern w:val="0"/>
          <w:lang w:eastAsia="pt-BR" w:bidi="ar-SA"/>
        </w:rPr>
        <w:t>Art. 6° Esta Lei entra em vigor na data de sua publicação.</w:t>
      </w:r>
    </w:p>
    <w:p w14:paraId="4551149D" w14:textId="77777777" w:rsidR="009673BE" w:rsidRPr="004079B7" w:rsidRDefault="009673BE" w:rsidP="009673BE">
      <w:pPr>
        <w:pStyle w:val="Standard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2C30728A" w14:textId="77777777" w:rsidR="00536186" w:rsidRPr="00FB3082" w:rsidRDefault="00536186" w:rsidP="00A72323">
      <w:pPr>
        <w:pStyle w:val="Standard"/>
        <w:jc w:val="both"/>
        <w:rPr>
          <w:rFonts w:ascii="Times New Roman" w:hAnsi="Times New Roman" w:cs="Times New Roman"/>
        </w:rPr>
      </w:pPr>
    </w:p>
    <w:p w14:paraId="7F69B4B9" w14:textId="33C0946D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904A3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904A3F">
        <w:rPr>
          <w:rFonts w:ascii="Times New Roman" w:hAnsi="Times New Roman" w:cs="Times New Roman"/>
          <w:color w:val="000000" w:themeColor="text1"/>
          <w:sz w:val="24"/>
          <w:szCs w:val="24"/>
        </w:rPr>
        <w:t>06 de julho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F1D162" w14:textId="3943B46F" w:rsidR="001A0D09" w:rsidRDefault="001A0D09" w:rsidP="00A72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6DC915" w14:textId="0FC824C4" w:rsidR="002B2072" w:rsidRDefault="002B2072" w:rsidP="00A72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729AE" w14:textId="3B46ADB6" w:rsidR="002B2072" w:rsidRDefault="002B2072" w:rsidP="00A72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2ED1F" w14:textId="77777777" w:rsidR="002B2072" w:rsidRDefault="002B2072" w:rsidP="00A723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C4293" w14:textId="77777777" w:rsidR="00064CBE" w:rsidRPr="001125A9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4821BB7A" w14:textId="03F41444" w:rsidR="00741424" w:rsidRDefault="00741424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BA16A5" w14:textId="77777777" w:rsidR="00A72323" w:rsidRPr="007C3501" w:rsidRDefault="00A72323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27445" w14:textId="36CF751C" w:rsidR="00064CBE" w:rsidRDefault="00064CBE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CC8B83" w14:textId="77777777" w:rsidR="002B2072" w:rsidRDefault="002B2072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332F7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5326F489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8801E90" w14:textId="365246BC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213848" w14:textId="75110058" w:rsidR="00064CBE" w:rsidRDefault="00064CBE" w:rsidP="00A7232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7356B" w14:textId="77777777" w:rsidR="002B2072" w:rsidRDefault="002B2072" w:rsidP="00A7232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8DDF3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EE78B2C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3D2CCEE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7E2035" w14:textId="4ED910AE" w:rsidR="00064CBE" w:rsidRDefault="00064CBE" w:rsidP="00A7232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61AFA2" w14:textId="77777777" w:rsidR="002B2072" w:rsidRDefault="002B2072" w:rsidP="00A7232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EC47E9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ADDFE8A" w14:textId="76A5D5C1" w:rsidR="00E84629" w:rsidRPr="00B352A1" w:rsidRDefault="00064CBE" w:rsidP="00FB308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E84629" w:rsidRPr="00B352A1" w:rsidSect="00FB3082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erif">
    <w:altName w:val="MS Gothi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64CBE"/>
    <w:rsid w:val="000B4C04"/>
    <w:rsid w:val="000C478D"/>
    <w:rsid w:val="000C6374"/>
    <w:rsid w:val="0014555A"/>
    <w:rsid w:val="001A0D09"/>
    <w:rsid w:val="001F2221"/>
    <w:rsid w:val="0029320C"/>
    <w:rsid w:val="00294346"/>
    <w:rsid w:val="002B2072"/>
    <w:rsid w:val="00331B0A"/>
    <w:rsid w:val="00353126"/>
    <w:rsid w:val="00353902"/>
    <w:rsid w:val="00362D45"/>
    <w:rsid w:val="00390B7B"/>
    <w:rsid w:val="0041642E"/>
    <w:rsid w:val="004166F3"/>
    <w:rsid w:val="00464F40"/>
    <w:rsid w:val="00476420"/>
    <w:rsid w:val="00483B36"/>
    <w:rsid w:val="004936D7"/>
    <w:rsid w:val="004A61CC"/>
    <w:rsid w:val="00517218"/>
    <w:rsid w:val="00536186"/>
    <w:rsid w:val="005A14DD"/>
    <w:rsid w:val="005B2E72"/>
    <w:rsid w:val="00622A9B"/>
    <w:rsid w:val="00640184"/>
    <w:rsid w:val="006B28F6"/>
    <w:rsid w:val="006B417C"/>
    <w:rsid w:val="006E3C1A"/>
    <w:rsid w:val="00741424"/>
    <w:rsid w:val="008B613B"/>
    <w:rsid w:val="008F1E6C"/>
    <w:rsid w:val="00904A3F"/>
    <w:rsid w:val="0096346B"/>
    <w:rsid w:val="009673BE"/>
    <w:rsid w:val="009715AD"/>
    <w:rsid w:val="00A72323"/>
    <w:rsid w:val="00AC4EAF"/>
    <w:rsid w:val="00BD52AD"/>
    <w:rsid w:val="00BE13D4"/>
    <w:rsid w:val="00BE5360"/>
    <w:rsid w:val="00C7052B"/>
    <w:rsid w:val="00D8537D"/>
    <w:rsid w:val="00E84629"/>
    <w:rsid w:val="00FB3082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Standard">
    <w:name w:val="Standard"/>
    <w:rsid w:val="004764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card-text">
    <w:name w:val="card-text"/>
    <w:basedOn w:val="Normal"/>
    <w:uiPriority w:val="99"/>
    <w:semiHidden/>
    <w:rsid w:val="0053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6186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73B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73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2022-07-06T12:29:00Z</cp:lastPrinted>
  <dcterms:created xsi:type="dcterms:W3CDTF">2022-07-06T12:29:00Z</dcterms:created>
  <dcterms:modified xsi:type="dcterms:W3CDTF">2022-07-06T12:29:00Z</dcterms:modified>
</cp:coreProperties>
</file>