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3CFF" w14:textId="77777777" w:rsidR="001C1ACE" w:rsidRPr="00E95CEE" w:rsidRDefault="001C1ACE" w:rsidP="00E95CEE">
      <w:pPr>
        <w:spacing w:after="120" w:line="240" w:lineRule="auto"/>
        <w:jc w:val="center"/>
        <w:rPr>
          <w:rFonts w:ascii="Times New Roman" w:hAnsi="Times New Roman" w:cs="Times New Roman"/>
          <w:b/>
          <w:bCs/>
          <w:color w:val="000000" w:themeColor="text1"/>
          <w:sz w:val="24"/>
          <w:szCs w:val="24"/>
        </w:rPr>
      </w:pPr>
      <w:r w:rsidRPr="00E95CEE">
        <w:rPr>
          <w:rFonts w:ascii="Times New Roman" w:hAnsi="Times New Roman" w:cs="Times New Roman"/>
          <w:b/>
          <w:bCs/>
          <w:color w:val="000000" w:themeColor="text1"/>
          <w:sz w:val="24"/>
          <w:szCs w:val="24"/>
        </w:rPr>
        <w:t>COMISSÃO DE LEGISLAÇÃO E JUSTIÇA – CLJ</w:t>
      </w:r>
    </w:p>
    <w:p w14:paraId="10F7587C" w14:textId="77777777" w:rsidR="001C1ACE" w:rsidRPr="00E95CEE" w:rsidRDefault="001C1ACE" w:rsidP="00E95CEE">
      <w:pPr>
        <w:spacing w:after="120" w:line="240" w:lineRule="auto"/>
        <w:jc w:val="both"/>
        <w:rPr>
          <w:rFonts w:ascii="Times New Roman" w:hAnsi="Times New Roman" w:cs="Times New Roman"/>
          <w:b/>
          <w:bCs/>
          <w:color w:val="000000" w:themeColor="text1"/>
          <w:sz w:val="24"/>
          <w:szCs w:val="24"/>
        </w:rPr>
      </w:pPr>
    </w:p>
    <w:p w14:paraId="7ECE0D75" w14:textId="3576285D" w:rsidR="00FF281B" w:rsidRPr="00E95CEE" w:rsidRDefault="00CC2179" w:rsidP="00E95CEE">
      <w:pPr>
        <w:spacing w:after="120" w:line="240" w:lineRule="auto"/>
        <w:jc w:val="center"/>
        <w:rPr>
          <w:rFonts w:ascii="Times New Roman" w:hAnsi="Times New Roman" w:cs="Times New Roman"/>
          <w:b/>
          <w:bCs/>
          <w:color w:val="000000" w:themeColor="text1"/>
          <w:sz w:val="24"/>
          <w:szCs w:val="24"/>
        </w:rPr>
      </w:pPr>
      <w:r w:rsidRPr="00E95CEE">
        <w:rPr>
          <w:rFonts w:ascii="Times New Roman" w:hAnsi="Times New Roman" w:cs="Times New Roman"/>
          <w:b/>
          <w:bCs/>
          <w:color w:val="000000" w:themeColor="text1"/>
          <w:sz w:val="24"/>
          <w:szCs w:val="24"/>
        </w:rPr>
        <w:t>PARECER</w:t>
      </w:r>
      <w:r w:rsidR="00FF281B" w:rsidRPr="00E95CEE">
        <w:rPr>
          <w:rFonts w:ascii="Times New Roman" w:hAnsi="Times New Roman" w:cs="Times New Roman"/>
          <w:b/>
          <w:bCs/>
          <w:color w:val="000000" w:themeColor="text1"/>
          <w:sz w:val="24"/>
          <w:szCs w:val="24"/>
        </w:rPr>
        <w:t xml:space="preserve"> JURÍDICO DE ADMISSIBILIDADE</w:t>
      </w:r>
    </w:p>
    <w:p w14:paraId="0BDC9A76" w14:textId="77777777" w:rsidR="003D5A75" w:rsidRPr="00E95CEE" w:rsidRDefault="003D5A75" w:rsidP="00E95CEE">
      <w:pPr>
        <w:spacing w:after="120" w:line="240" w:lineRule="auto"/>
        <w:jc w:val="both"/>
        <w:rPr>
          <w:rFonts w:ascii="Times New Roman" w:hAnsi="Times New Roman" w:cs="Times New Roman"/>
          <w:b/>
          <w:bCs/>
          <w:color w:val="000000" w:themeColor="text1"/>
          <w:sz w:val="24"/>
          <w:szCs w:val="24"/>
        </w:rPr>
      </w:pPr>
    </w:p>
    <w:p w14:paraId="40B1F3F1" w14:textId="64623075" w:rsidR="00E22572" w:rsidRPr="00E95CEE" w:rsidRDefault="00660D6E" w:rsidP="00E95CEE">
      <w:pPr>
        <w:spacing w:after="120" w:line="240" w:lineRule="auto"/>
        <w:jc w:val="both"/>
        <w:rPr>
          <w:rFonts w:ascii="Times New Roman" w:eastAsia="DejaVu Sans" w:hAnsi="Times New Roman" w:cs="Times New Roman"/>
          <w:bCs/>
          <w:color w:val="000000" w:themeColor="text1"/>
          <w:kern w:val="2"/>
          <w:sz w:val="24"/>
          <w:szCs w:val="24"/>
        </w:rPr>
      </w:pPr>
      <w:r w:rsidRPr="00E95CEE">
        <w:rPr>
          <w:rFonts w:ascii="Times New Roman" w:eastAsia="DejaVu Sans" w:hAnsi="Times New Roman" w:cs="Times New Roman"/>
          <w:b/>
          <w:bCs/>
          <w:color w:val="000000" w:themeColor="text1"/>
          <w:kern w:val="2"/>
          <w:sz w:val="24"/>
          <w:szCs w:val="24"/>
        </w:rPr>
        <w:t xml:space="preserve">CONTEÚDO: </w:t>
      </w:r>
      <w:r w:rsidR="00D42545" w:rsidRPr="00E95CEE">
        <w:rPr>
          <w:rFonts w:ascii="Times New Roman" w:eastAsia="DejaVu Sans" w:hAnsi="Times New Roman" w:cs="Times New Roman"/>
          <w:bCs/>
          <w:color w:val="000000" w:themeColor="text1"/>
          <w:kern w:val="2"/>
          <w:sz w:val="24"/>
          <w:szCs w:val="24"/>
        </w:rPr>
        <w:t>APROVA PARECER PRÉVIO DO TRIBUNAL DE CONTAS DO ESTADO DE MINAS GERAIS QUE APROVA AS CONTAS DO MUNICÍPIO DE SETE LAGOAS REFERENTES AO EXERCÍCIO FINANCEIRO DE 2019 DO PODER EXECUTIVO MUNICIPAL</w:t>
      </w:r>
    </w:p>
    <w:p w14:paraId="7D32E4FA" w14:textId="0D3F7CB3" w:rsidR="00660D6E" w:rsidRPr="00E95CEE" w:rsidRDefault="003D5A75" w:rsidP="00E95CEE">
      <w:pPr>
        <w:spacing w:after="120" w:line="240" w:lineRule="auto"/>
        <w:jc w:val="both"/>
        <w:rPr>
          <w:rFonts w:ascii="Times New Roman" w:hAnsi="Times New Roman" w:cs="Times New Roman"/>
          <w:bCs/>
          <w:color w:val="000000" w:themeColor="text1"/>
          <w:sz w:val="24"/>
          <w:szCs w:val="24"/>
        </w:rPr>
      </w:pPr>
      <w:r w:rsidRPr="00E95CEE">
        <w:rPr>
          <w:rFonts w:ascii="Times New Roman" w:eastAsia="DejaVu Sans" w:hAnsi="Times New Roman" w:cs="Times New Roman"/>
          <w:b/>
          <w:bCs/>
          <w:color w:val="000000" w:themeColor="text1"/>
          <w:kern w:val="2"/>
          <w:sz w:val="24"/>
          <w:szCs w:val="24"/>
        </w:rPr>
        <w:t>AUTORIA:</w:t>
      </w:r>
      <w:r w:rsidRPr="00E95CEE">
        <w:rPr>
          <w:rFonts w:ascii="Times New Roman" w:eastAsia="DejaVu Sans" w:hAnsi="Times New Roman" w:cs="Times New Roman"/>
          <w:color w:val="000000" w:themeColor="text1"/>
          <w:kern w:val="2"/>
          <w:sz w:val="24"/>
          <w:szCs w:val="24"/>
        </w:rPr>
        <w:t xml:space="preserve"> </w:t>
      </w:r>
      <w:r w:rsidR="00D42545" w:rsidRPr="00E95CEE">
        <w:rPr>
          <w:rFonts w:ascii="Times New Roman" w:hAnsi="Times New Roman" w:cs="Times New Roman"/>
          <w:bCs/>
          <w:color w:val="000000" w:themeColor="text1"/>
          <w:sz w:val="24"/>
          <w:szCs w:val="24"/>
        </w:rPr>
        <w:t xml:space="preserve">COMISSÃO DE FISCALIZAÇÃO FINANCEIRA, ORÇAMENTÁRIA E DE TOMADA DE CONTAS </w:t>
      </w:r>
      <w:r w:rsidR="001C1ACE" w:rsidRPr="00E95CEE">
        <w:rPr>
          <w:rFonts w:ascii="Times New Roman" w:hAnsi="Times New Roman" w:cs="Times New Roman"/>
          <w:bCs/>
          <w:color w:val="000000" w:themeColor="text1"/>
          <w:sz w:val="24"/>
          <w:szCs w:val="24"/>
        </w:rPr>
        <w:t>–</w:t>
      </w:r>
      <w:r w:rsidR="00D42545" w:rsidRPr="00E95CEE">
        <w:rPr>
          <w:rFonts w:ascii="Times New Roman" w:hAnsi="Times New Roman" w:cs="Times New Roman"/>
          <w:bCs/>
          <w:color w:val="000000" w:themeColor="text1"/>
          <w:sz w:val="24"/>
          <w:szCs w:val="24"/>
        </w:rPr>
        <w:t xml:space="preserve"> CFFOTC</w:t>
      </w:r>
    </w:p>
    <w:p w14:paraId="248746DE" w14:textId="69F28641" w:rsidR="00660D6E" w:rsidRPr="00E95CEE" w:rsidRDefault="003D5A75" w:rsidP="00E95CEE">
      <w:pPr>
        <w:spacing w:after="120" w:line="240" w:lineRule="auto"/>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b/>
          <w:color w:val="000000" w:themeColor="text1"/>
          <w:kern w:val="2"/>
          <w:sz w:val="24"/>
          <w:szCs w:val="24"/>
        </w:rPr>
        <w:t>FINALIDADE:</w:t>
      </w:r>
      <w:r w:rsidRPr="00E95CEE">
        <w:rPr>
          <w:rFonts w:ascii="Times New Roman" w:eastAsia="DejaVu Sans" w:hAnsi="Times New Roman" w:cs="Times New Roman"/>
          <w:color w:val="000000" w:themeColor="text1"/>
          <w:kern w:val="2"/>
          <w:sz w:val="24"/>
          <w:szCs w:val="24"/>
        </w:rPr>
        <w:t xml:space="preserve"> ANÁLISE DO PROJETO DE RESOLUÇÃO Nº </w:t>
      </w:r>
      <w:r w:rsidR="00D42545" w:rsidRPr="00E95CEE">
        <w:rPr>
          <w:rFonts w:ascii="Times New Roman" w:eastAsia="DejaVu Sans" w:hAnsi="Times New Roman" w:cs="Times New Roman"/>
          <w:color w:val="000000" w:themeColor="text1"/>
          <w:kern w:val="2"/>
          <w:sz w:val="24"/>
          <w:szCs w:val="24"/>
        </w:rPr>
        <w:t>16</w:t>
      </w:r>
      <w:r w:rsidRPr="00E95CEE">
        <w:rPr>
          <w:rFonts w:ascii="Times New Roman" w:eastAsia="DejaVu Sans" w:hAnsi="Times New Roman" w:cs="Times New Roman"/>
          <w:color w:val="000000" w:themeColor="text1"/>
          <w:kern w:val="2"/>
          <w:sz w:val="24"/>
          <w:szCs w:val="24"/>
        </w:rPr>
        <w:t>/2021 SOB A ÓTICA DA LEGISLAÇÃO CONSTITUCIONAL E INFRACONSTITUCIONAL MUNICIPAL, ESTADUAL E FEDERAL.</w:t>
      </w:r>
    </w:p>
    <w:p w14:paraId="6795E8E4" w14:textId="77777777" w:rsidR="00FF281B" w:rsidRPr="00E95CEE" w:rsidRDefault="00FF281B" w:rsidP="00E95CEE">
      <w:pPr>
        <w:spacing w:after="120" w:line="240" w:lineRule="auto"/>
        <w:ind w:firstLine="1418"/>
        <w:jc w:val="both"/>
        <w:rPr>
          <w:rFonts w:ascii="Times New Roman" w:eastAsia="DejaVu Sans" w:hAnsi="Times New Roman" w:cs="Times New Roman"/>
          <w:color w:val="000000" w:themeColor="text1"/>
          <w:kern w:val="2"/>
          <w:sz w:val="24"/>
          <w:szCs w:val="24"/>
        </w:rPr>
      </w:pPr>
    </w:p>
    <w:p w14:paraId="5506038B" w14:textId="4D39A324" w:rsidR="00D043F1" w:rsidRPr="00E95CEE" w:rsidRDefault="003D5A75" w:rsidP="00E95CEE">
      <w:pPr>
        <w:spacing w:after="120" w:line="240" w:lineRule="auto"/>
        <w:ind w:firstLine="1418"/>
        <w:jc w:val="both"/>
        <w:rPr>
          <w:rFonts w:ascii="Times New Roman" w:eastAsia="DejaVu Sans" w:hAnsi="Times New Roman" w:cs="Times New Roman"/>
          <w:b/>
          <w:color w:val="000000" w:themeColor="text1"/>
          <w:kern w:val="2"/>
          <w:sz w:val="24"/>
          <w:szCs w:val="24"/>
          <w:u w:val="single"/>
        </w:rPr>
      </w:pPr>
      <w:r w:rsidRPr="00E95CEE">
        <w:rPr>
          <w:rFonts w:ascii="Times New Roman" w:eastAsia="DejaVu Sans" w:hAnsi="Times New Roman" w:cs="Times New Roman"/>
          <w:b/>
          <w:color w:val="000000" w:themeColor="text1"/>
          <w:kern w:val="2"/>
          <w:sz w:val="24"/>
          <w:szCs w:val="24"/>
          <w:u w:val="single"/>
        </w:rPr>
        <w:t>RELATÓRIO</w:t>
      </w:r>
    </w:p>
    <w:p w14:paraId="4AF8018D" w14:textId="51448285" w:rsidR="008129C4" w:rsidRPr="00E95CEE" w:rsidRDefault="00B10825"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 xml:space="preserve">Foi apresentado a esta e. Casa o Projeto de Resolução nº </w:t>
      </w:r>
      <w:r w:rsidR="00D42545" w:rsidRPr="00E95CEE">
        <w:rPr>
          <w:rFonts w:ascii="Times New Roman" w:eastAsia="DejaVu Sans" w:hAnsi="Times New Roman" w:cs="Times New Roman"/>
          <w:color w:val="000000" w:themeColor="text1"/>
          <w:kern w:val="2"/>
          <w:sz w:val="24"/>
          <w:szCs w:val="24"/>
        </w:rPr>
        <w:t>16</w:t>
      </w:r>
      <w:r w:rsidRPr="00E95CEE">
        <w:rPr>
          <w:rFonts w:ascii="Times New Roman" w:eastAsia="DejaVu Sans" w:hAnsi="Times New Roman" w:cs="Times New Roman"/>
          <w:color w:val="000000" w:themeColor="text1"/>
          <w:kern w:val="2"/>
          <w:sz w:val="24"/>
          <w:szCs w:val="24"/>
        </w:rPr>
        <w:t xml:space="preserve">/2021 que </w:t>
      </w:r>
      <w:r w:rsidR="00D42545" w:rsidRPr="00E95CEE">
        <w:rPr>
          <w:rFonts w:ascii="Times New Roman" w:eastAsia="DejaVu Sans" w:hAnsi="Times New Roman" w:cs="Times New Roman"/>
          <w:color w:val="000000" w:themeColor="text1"/>
          <w:kern w:val="2"/>
          <w:sz w:val="24"/>
          <w:szCs w:val="24"/>
        </w:rPr>
        <w:t>aprova parecer prévio do Tribunal de Contas do Estado de Minas Gerais que aprova as contas do Município de Sete Lagoas referentes ao exercício financeiro de 2019 do Poder Executivo Municipal.</w:t>
      </w:r>
    </w:p>
    <w:p w14:paraId="508A0D2C" w14:textId="627ADFDD" w:rsidR="00F36A64" w:rsidRPr="00E95CEE" w:rsidRDefault="00CC2179"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 xml:space="preserve">O projeto foi distribuído </w:t>
      </w:r>
      <w:r w:rsidR="005E5FCE" w:rsidRPr="00E95CEE">
        <w:rPr>
          <w:rFonts w:ascii="Times New Roman" w:eastAsia="DejaVu Sans" w:hAnsi="Times New Roman" w:cs="Times New Roman"/>
          <w:color w:val="000000" w:themeColor="text1"/>
          <w:kern w:val="2"/>
          <w:sz w:val="24"/>
          <w:szCs w:val="24"/>
        </w:rPr>
        <w:t>à</w:t>
      </w:r>
      <w:r w:rsidRPr="00E95CEE">
        <w:rPr>
          <w:rFonts w:ascii="Times New Roman" w:eastAsia="DejaVu Sans" w:hAnsi="Times New Roman" w:cs="Times New Roman"/>
          <w:color w:val="000000" w:themeColor="text1"/>
          <w:kern w:val="2"/>
          <w:sz w:val="24"/>
          <w:szCs w:val="24"/>
        </w:rPr>
        <w:t xml:space="preserve"> Comissão de Legislação e Justiça para receber parecer quanto a sua constitucionalid</w:t>
      </w:r>
      <w:r w:rsidR="00F36A64" w:rsidRPr="00E95CEE">
        <w:rPr>
          <w:rFonts w:ascii="Times New Roman" w:eastAsia="DejaVu Sans" w:hAnsi="Times New Roman" w:cs="Times New Roman"/>
          <w:color w:val="000000" w:themeColor="text1"/>
          <w:kern w:val="2"/>
          <w:sz w:val="24"/>
          <w:szCs w:val="24"/>
        </w:rPr>
        <w:t xml:space="preserve">ade, legalidade e juridicidade, sem adentrar no mérito </w:t>
      </w:r>
      <w:r w:rsidR="003D5A75" w:rsidRPr="00E95CEE">
        <w:rPr>
          <w:rFonts w:ascii="Times New Roman" w:eastAsia="DejaVu Sans" w:hAnsi="Times New Roman" w:cs="Times New Roman"/>
          <w:color w:val="000000" w:themeColor="text1"/>
          <w:kern w:val="2"/>
          <w:sz w:val="24"/>
          <w:szCs w:val="24"/>
        </w:rPr>
        <w:t xml:space="preserve">da matéria, devidamente </w:t>
      </w:r>
      <w:r w:rsidR="00F36A64" w:rsidRPr="00E95CEE">
        <w:rPr>
          <w:rFonts w:ascii="Times New Roman" w:eastAsia="DejaVu Sans" w:hAnsi="Times New Roman" w:cs="Times New Roman"/>
          <w:color w:val="000000" w:themeColor="text1"/>
          <w:kern w:val="2"/>
          <w:sz w:val="24"/>
          <w:szCs w:val="24"/>
        </w:rPr>
        <w:t>acompanhado do</w:t>
      </w:r>
      <w:r w:rsidR="003D5A75" w:rsidRPr="00E95CEE">
        <w:rPr>
          <w:rFonts w:ascii="Times New Roman" w:eastAsia="DejaVu Sans" w:hAnsi="Times New Roman" w:cs="Times New Roman"/>
          <w:color w:val="000000" w:themeColor="text1"/>
          <w:kern w:val="2"/>
          <w:sz w:val="24"/>
          <w:szCs w:val="24"/>
        </w:rPr>
        <w:t>s autos do</w:t>
      </w:r>
      <w:r w:rsidR="00F36A64" w:rsidRPr="00E95CEE">
        <w:rPr>
          <w:rFonts w:ascii="Times New Roman" w:eastAsia="DejaVu Sans" w:hAnsi="Times New Roman" w:cs="Times New Roman"/>
          <w:color w:val="000000" w:themeColor="text1"/>
          <w:kern w:val="2"/>
          <w:sz w:val="24"/>
          <w:szCs w:val="24"/>
        </w:rPr>
        <w:t xml:space="preserve"> processo legislativo contendo a </w:t>
      </w:r>
      <w:r w:rsidR="00B10825" w:rsidRPr="00E95CEE">
        <w:rPr>
          <w:rFonts w:ascii="Times New Roman" w:eastAsia="DejaVu Sans" w:hAnsi="Times New Roman" w:cs="Times New Roman"/>
          <w:color w:val="000000" w:themeColor="text1"/>
          <w:kern w:val="2"/>
          <w:sz w:val="24"/>
          <w:szCs w:val="24"/>
        </w:rPr>
        <w:t xml:space="preserve">resolução </w:t>
      </w:r>
      <w:r w:rsidR="00F36A64" w:rsidRPr="00E95CEE">
        <w:rPr>
          <w:rFonts w:ascii="Times New Roman" w:eastAsia="DejaVu Sans" w:hAnsi="Times New Roman" w:cs="Times New Roman"/>
          <w:color w:val="000000" w:themeColor="text1"/>
          <w:kern w:val="2"/>
          <w:sz w:val="24"/>
          <w:szCs w:val="24"/>
        </w:rPr>
        <w:t xml:space="preserve">original com </w:t>
      </w:r>
      <w:r w:rsidR="00D42545" w:rsidRPr="00E95CEE">
        <w:rPr>
          <w:rFonts w:ascii="Times New Roman" w:eastAsia="DejaVu Sans" w:hAnsi="Times New Roman" w:cs="Times New Roman"/>
          <w:color w:val="000000" w:themeColor="text1"/>
          <w:kern w:val="2"/>
          <w:sz w:val="24"/>
          <w:szCs w:val="24"/>
        </w:rPr>
        <w:t>o parecer do TCE-MG</w:t>
      </w:r>
      <w:r w:rsidR="00795510" w:rsidRPr="00E95CEE">
        <w:rPr>
          <w:rFonts w:ascii="Times New Roman" w:eastAsia="DejaVu Sans" w:hAnsi="Times New Roman" w:cs="Times New Roman"/>
          <w:color w:val="000000" w:themeColor="text1"/>
          <w:kern w:val="2"/>
          <w:sz w:val="24"/>
          <w:szCs w:val="24"/>
        </w:rPr>
        <w:t>.</w:t>
      </w:r>
    </w:p>
    <w:p w14:paraId="4E63B21D" w14:textId="77777777" w:rsidR="00CC2179" w:rsidRPr="00E95CEE" w:rsidRDefault="00CC2179" w:rsidP="00E95CEE">
      <w:pPr>
        <w:tabs>
          <w:tab w:val="left" w:pos="5580"/>
        </w:tabs>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Presentes à reunião:</w:t>
      </w:r>
    </w:p>
    <w:p w14:paraId="61B4D88D" w14:textId="6291AB25" w:rsidR="00CC2179" w:rsidRPr="00E95CEE" w:rsidRDefault="00CC2179" w:rsidP="00E95CEE">
      <w:pPr>
        <w:tabs>
          <w:tab w:val="left" w:pos="5580"/>
        </w:tabs>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a) pela Comissão de Legislação e Justiça</w:t>
      </w:r>
      <w:r w:rsidR="00141EF5" w:rsidRPr="00E95CEE">
        <w:rPr>
          <w:rFonts w:ascii="Times New Roman" w:eastAsia="DejaVu Sans" w:hAnsi="Times New Roman" w:cs="Times New Roman"/>
          <w:color w:val="000000" w:themeColor="text1"/>
          <w:kern w:val="2"/>
          <w:sz w:val="24"/>
          <w:szCs w:val="24"/>
        </w:rPr>
        <w:t xml:space="preserve">, os vereadores </w:t>
      </w:r>
      <w:r w:rsidR="007A090D" w:rsidRPr="00E95CEE">
        <w:rPr>
          <w:rFonts w:ascii="Times New Roman" w:eastAsia="DejaVu Sans" w:hAnsi="Times New Roman" w:cs="Times New Roman"/>
          <w:color w:val="000000" w:themeColor="text1"/>
          <w:kern w:val="2"/>
          <w:sz w:val="24"/>
          <w:szCs w:val="24"/>
        </w:rPr>
        <w:t xml:space="preserve">Caio </w:t>
      </w:r>
      <w:r w:rsidR="003D5A75" w:rsidRPr="00E95CEE">
        <w:rPr>
          <w:rFonts w:ascii="Times New Roman" w:eastAsia="DejaVu Sans" w:hAnsi="Times New Roman" w:cs="Times New Roman"/>
          <w:color w:val="000000" w:themeColor="text1"/>
          <w:kern w:val="2"/>
          <w:sz w:val="24"/>
          <w:szCs w:val="24"/>
        </w:rPr>
        <w:t xml:space="preserve">Lucius </w:t>
      </w:r>
      <w:r w:rsidR="007A090D" w:rsidRPr="00E95CEE">
        <w:rPr>
          <w:rFonts w:ascii="Times New Roman" w:eastAsia="DejaVu Sans" w:hAnsi="Times New Roman" w:cs="Times New Roman"/>
          <w:color w:val="000000" w:themeColor="text1"/>
          <w:kern w:val="2"/>
          <w:sz w:val="24"/>
          <w:szCs w:val="24"/>
        </w:rPr>
        <w:t>Valace</w:t>
      </w:r>
      <w:r w:rsidR="003D5A75" w:rsidRPr="00E95CEE">
        <w:rPr>
          <w:rFonts w:ascii="Times New Roman" w:eastAsia="DejaVu Sans" w:hAnsi="Times New Roman" w:cs="Times New Roman"/>
          <w:color w:val="000000" w:themeColor="text1"/>
          <w:kern w:val="2"/>
          <w:sz w:val="24"/>
          <w:szCs w:val="24"/>
        </w:rPr>
        <w:t xml:space="preserve"> de Oliveira Silva</w:t>
      </w:r>
      <w:r w:rsidR="007A090D" w:rsidRPr="00E95CEE">
        <w:rPr>
          <w:rFonts w:ascii="Times New Roman" w:eastAsia="DejaVu Sans" w:hAnsi="Times New Roman" w:cs="Times New Roman"/>
          <w:color w:val="000000" w:themeColor="text1"/>
          <w:kern w:val="2"/>
          <w:sz w:val="24"/>
          <w:szCs w:val="24"/>
        </w:rPr>
        <w:t xml:space="preserve"> </w:t>
      </w:r>
      <w:r w:rsidR="00141EF5" w:rsidRPr="00E95CEE">
        <w:rPr>
          <w:rFonts w:ascii="Times New Roman" w:eastAsia="DejaVu Sans" w:hAnsi="Times New Roman" w:cs="Times New Roman"/>
          <w:color w:val="000000" w:themeColor="text1"/>
          <w:kern w:val="2"/>
          <w:sz w:val="24"/>
          <w:szCs w:val="24"/>
        </w:rPr>
        <w:t>(presidente)</w:t>
      </w:r>
      <w:r w:rsidR="001C1ACE" w:rsidRPr="00E95CEE">
        <w:rPr>
          <w:rFonts w:ascii="Times New Roman" w:eastAsia="DejaVu Sans" w:hAnsi="Times New Roman" w:cs="Times New Roman"/>
          <w:color w:val="000000" w:themeColor="text1"/>
          <w:kern w:val="2"/>
          <w:sz w:val="24"/>
          <w:szCs w:val="24"/>
        </w:rPr>
        <w:t>,</w:t>
      </w:r>
      <w:r w:rsidR="00BC42D6" w:rsidRPr="00E95CEE">
        <w:rPr>
          <w:rFonts w:ascii="Times New Roman" w:eastAsia="DejaVu Sans" w:hAnsi="Times New Roman" w:cs="Times New Roman"/>
          <w:color w:val="000000" w:themeColor="text1"/>
          <w:kern w:val="2"/>
          <w:sz w:val="24"/>
          <w:szCs w:val="24"/>
        </w:rPr>
        <w:t xml:space="preserve"> João Evangelista</w:t>
      </w:r>
      <w:r w:rsidR="001C3800" w:rsidRPr="00E95CEE">
        <w:rPr>
          <w:rFonts w:ascii="Times New Roman" w:eastAsia="DejaVu Sans" w:hAnsi="Times New Roman" w:cs="Times New Roman"/>
          <w:color w:val="000000" w:themeColor="text1"/>
          <w:kern w:val="2"/>
          <w:sz w:val="24"/>
          <w:szCs w:val="24"/>
        </w:rPr>
        <w:t xml:space="preserve"> Pereira de Sá</w:t>
      </w:r>
      <w:r w:rsidR="00BC42D6" w:rsidRPr="00E95CEE">
        <w:rPr>
          <w:rFonts w:ascii="Times New Roman" w:eastAsia="DejaVu Sans" w:hAnsi="Times New Roman" w:cs="Times New Roman"/>
          <w:color w:val="000000" w:themeColor="text1"/>
          <w:kern w:val="2"/>
          <w:sz w:val="24"/>
          <w:szCs w:val="24"/>
        </w:rPr>
        <w:t xml:space="preserve"> </w:t>
      </w:r>
      <w:r w:rsidR="00141EF5" w:rsidRPr="00E95CEE">
        <w:rPr>
          <w:rFonts w:ascii="Times New Roman" w:eastAsia="DejaVu Sans" w:hAnsi="Times New Roman" w:cs="Times New Roman"/>
          <w:color w:val="000000" w:themeColor="text1"/>
          <w:kern w:val="2"/>
          <w:sz w:val="24"/>
          <w:szCs w:val="24"/>
        </w:rPr>
        <w:t>(relator</w:t>
      </w:r>
      <w:r w:rsidR="001C1ACE" w:rsidRPr="00E95CEE">
        <w:rPr>
          <w:rFonts w:ascii="Times New Roman" w:eastAsia="DejaVu Sans" w:hAnsi="Times New Roman" w:cs="Times New Roman"/>
          <w:color w:val="000000" w:themeColor="text1"/>
          <w:kern w:val="2"/>
          <w:sz w:val="24"/>
          <w:szCs w:val="24"/>
        </w:rPr>
        <w:t>) e</w:t>
      </w:r>
      <w:r w:rsidR="00141EF5" w:rsidRPr="00E95CEE">
        <w:rPr>
          <w:rFonts w:ascii="Times New Roman" w:eastAsia="DejaVu Sans" w:hAnsi="Times New Roman" w:cs="Times New Roman"/>
          <w:color w:val="000000" w:themeColor="text1"/>
          <w:kern w:val="2"/>
          <w:sz w:val="24"/>
          <w:szCs w:val="24"/>
        </w:rPr>
        <w:t xml:space="preserve"> </w:t>
      </w:r>
      <w:r w:rsidR="00BC42D6" w:rsidRPr="00E95CEE">
        <w:rPr>
          <w:rFonts w:ascii="Times New Roman" w:eastAsia="DejaVu Sans" w:hAnsi="Times New Roman" w:cs="Times New Roman"/>
          <w:color w:val="000000" w:themeColor="text1"/>
          <w:kern w:val="2"/>
          <w:sz w:val="24"/>
          <w:szCs w:val="24"/>
        </w:rPr>
        <w:t xml:space="preserve">Marli </w:t>
      </w:r>
      <w:r w:rsidR="003D5A75" w:rsidRPr="00E95CEE">
        <w:rPr>
          <w:rFonts w:ascii="Times New Roman" w:eastAsia="DejaVu Sans" w:hAnsi="Times New Roman" w:cs="Times New Roman"/>
          <w:color w:val="000000" w:themeColor="text1"/>
          <w:kern w:val="2"/>
          <w:sz w:val="24"/>
          <w:szCs w:val="24"/>
        </w:rPr>
        <w:t>Aparecida Barbosa</w:t>
      </w:r>
      <w:r w:rsidR="001C1ACE" w:rsidRPr="00E95CEE">
        <w:rPr>
          <w:rFonts w:ascii="Times New Roman" w:eastAsia="DejaVu Sans" w:hAnsi="Times New Roman" w:cs="Times New Roman"/>
          <w:color w:val="000000" w:themeColor="text1"/>
          <w:kern w:val="2"/>
          <w:sz w:val="24"/>
          <w:szCs w:val="24"/>
        </w:rPr>
        <w:t xml:space="preserve"> </w:t>
      </w:r>
      <w:r w:rsidR="00141EF5" w:rsidRPr="00E95CEE">
        <w:rPr>
          <w:rFonts w:ascii="Times New Roman" w:eastAsia="DejaVu Sans" w:hAnsi="Times New Roman" w:cs="Times New Roman"/>
          <w:color w:val="000000" w:themeColor="text1"/>
          <w:kern w:val="2"/>
          <w:sz w:val="24"/>
          <w:szCs w:val="24"/>
        </w:rPr>
        <w:t>(vogal);</w:t>
      </w:r>
    </w:p>
    <w:p w14:paraId="3C4428B4" w14:textId="160E1C13" w:rsidR="00385CF5" w:rsidRPr="00E95CEE" w:rsidRDefault="001C3800" w:rsidP="00E95CEE">
      <w:pPr>
        <w:tabs>
          <w:tab w:val="left" w:pos="5580"/>
        </w:tabs>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b</w:t>
      </w:r>
      <w:r w:rsidR="00CC2179" w:rsidRPr="00E95CEE">
        <w:rPr>
          <w:rFonts w:ascii="Times New Roman" w:eastAsia="DejaVu Sans" w:hAnsi="Times New Roman" w:cs="Times New Roman"/>
          <w:color w:val="000000" w:themeColor="text1"/>
          <w:kern w:val="2"/>
          <w:sz w:val="24"/>
          <w:szCs w:val="24"/>
        </w:rPr>
        <w:t>)</w:t>
      </w:r>
      <w:r w:rsidR="00FF281B" w:rsidRPr="00E95CEE">
        <w:rPr>
          <w:rFonts w:ascii="Times New Roman" w:eastAsia="DejaVu Sans" w:hAnsi="Times New Roman" w:cs="Times New Roman"/>
          <w:color w:val="000000" w:themeColor="text1"/>
          <w:kern w:val="2"/>
          <w:sz w:val="24"/>
          <w:szCs w:val="24"/>
        </w:rPr>
        <w:t xml:space="preserve"> </w:t>
      </w:r>
      <w:r w:rsidR="001C1ACE" w:rsidRPr="00E95CEE">
        <w:rPr>
          <w:rFonts w:ascii="Times New Roman" w:eastAsia="DejaVu Sans" w:hAnsi="Times New Roman" w:cs="Times New Roman"/>
          <w:color w:val="000000" w:themeColor="text1"/>
          <w:kern w:val="2"/>
          <w:sz w:val="24"/>
          <w:szCs w:val="24"/>
        </w:rPr>
        <w:t>d</w:t>
      </w:r>
      <w:r w:rsidR="006C6FCA" w:rsidRPr="00E95CEE">
        <w:rPr>
          <w:rFonts w:ascii="Times New Roman" w:eastAsia="DejaVu Sans" w:hAnsi="Times New Roman" w:cs="Times New Roman"/>
          <w:color w:val="000000" w:themeColor="text1"/>
          <w:kern w:val="2"/>
          <w:sz w:val="24"/>
          <w:szCs w:val="24"/>
        </w:rPr>
        <w:t xml:space="preserve">emais Edis e assessores jurídicos da </w:t>
      </w:r>
      <w:r w:rsidR="001C1ACE" w:rsidRPr="00E95CEE">
        <w:rPr>
          <w:rFonts w:ascii="Times New Roman" w:eastAsia="DejaVu Sans" w:hAnsi="Times New Roman" w:cs="Times New Roman"/>
          <w:color w:val="000000" w:themeColor="text1"/>
          <w:kern w:val="2"/>
          <w:sz w:val="24"/>
          <w:szCs w:val="24"/>
        </w:rPr>
        <w:t>Câmara Municipal</w:t>
      </w:r>
      <w:r w:rsidR="006C6FCA" w:rsidRPr="00E95CEE">
        <w:rPr>
          <w:rFonts w:ascii="Times New Roman" w:eastAsia="DejaVu Sans" w:hAnsi="Times New Roman" w:cs="Times New Roman"/>
          <w:color w:val="000000" w:themeColor="text1"/>
          <w:kern w:val="2"/>
          <w:sz w:val="24"/>
          <w:szCs w:val="24"/>
        </w:rPr>
        <w:t>.</w:t>
      </w:r>
    </w:p>
    <w:p w14:paraId="3F22FF88" w14:textId="77777777" w:rsidR="003D5A75" w:rsidRPr="00E95CEE" w:rsidRDefault="003D5A75" w:rsidP="00E95CEE">
      <w:pPr>
        <w:tabs>
          <w:tab w:val="left" w:pos="5580"/>
        </w:tabs>
        <w:spacing w:after="120" w:line="240" w:lineRule="auto"/>
        <w:ind w:firstLine="1418"/>
        <w:jc w:val="both"/>
        <w:rPr>
          <w:rFonts w:ascii="Times New Roman" w:eastAsia="DejaVu Sans" w:hAnsi="Times New Roman" w:cs="Times New Roman"/>
          <w:color w:val="000000" w:themeColor="text1"/>
          <w:kern w:val="2"/>
          <w:sz w:val="24"/>
          <w:szCs w:val="24"/>
        </w:rPr>
      </w:pPr>
    </w:p>
    <w:p w14:paraId="1DDA49EC" w14:textId="0C43A41C" w:rsidR="00D043F1" w:rsidRPr="00E95CEE" w:rsidRDefault="003D5A75" w:rsidP="00E95CEE">
      <w:pPr>
        <w:tabs>
          <w:tab w:val="left" w:pos="5580"/>
        </w:tabs>
        <w:spacing w:after="120" w:line="240" w:lineRule="auto"/>
        <w:ind w:firstLine="1418"/>
        <w:jc w:val="both"/>
        <w:rPr>
          <w:rFonts w:ascii="Times New Roman" w:eastAsia="DejaVu Sans" w:hAnsi="Times New Roman" w:cs="Times New Roman"/>
          <w:b/>
          <w:color w:val="000000" w:themeColor="text1"/>
          <w:kern w:val="2"/>
          <w:sz w:val="24"/>
          <w:szCs w:val="24"/>
          <w:u w:val="single"/>
        </w:rPr>
      </w:pPr>
      <w:r w:rsidRPr="00E95CEE">
        <w:rPr>
          <w:rFonts w:ascii="Times New Roman" w:eastAsia="DejaVu Sans" w:hAnsi="Times New Roman" w:cs="Times New Roman"/>
          <w:b/>
          <w:color w:val="000000" w:themeColor="text1"/>
          <w:kern w:val="2"/>
          <w:sz w:val="24"/>
          <w:szCs w:val="24"/>
          <w:u w:val="single"/>
        </w:rPr>
        <w:t>FUNDAMENTAÇÃO</w:t>
      </w:r>
    </w:p>
    <w:p w14:paraId="4B9BB3A0" w14:textId="44E74A7E" w:rsidR="00167CAF" w:rsidRPr="00E95CEE" w:rsidRDefault="00167CAF"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É oportuno ressaltar que o processo que trata das contas anuais prestadas pelo Prefeito</w:t>
      </w:r>
      <w:r w:rsidR="001C1ACE" w:rsidRPr="00E95CEE">
        <w:rPr>
          <w:rFonts w:ascii="Times New Roman" w:eastAsia="DejaVu Sans" w:hAnsi="Times New Roman" w:cs="Times New Roman"/>
          <w:color w:val="000000" w:themeColor="text1"/>
          <w:kern w:val="2"/>
          <w:sz w:val="24"/>
          <w:szCs w:val="24"/>
        </w:rPr>
        <w:t xml:space="preserve"> </w:t>
      </w:r>
      <w:r w:rsidRPr="00E95CEE">
        <w:rPr>
          <w:rFonts w:ascii="Times New Roman" w:eastAsia="DejaVu Sans" w:hAnsi="Times New Roman" w:cs="Times New Roman"/>
          <w:color w:val="000000" w:themeColor="text1"/>
          <w:kern w:val="2"/>
          <w:sz w:val="24"/>
          <w:szCs w:val="24"/>
        </w:rPr>
        <w:t xml:space="preserve">e </w:t>
      </w:r>
      <w:r w:rsidR="001C1ACE" w:rsidRPr="00E95CEE">
        <w:rPr>
          <w:rFonts w:ascii="Times New Roman" w:eastAsia="DejaVu Sans" w:hAnsi="Times New Roman" w:cs="Times New Roman"/>
          <w:color w:val="000000" w:themeColor="text1"/>
          <w:kern w:val="2"/>
          <w:sz w:val="24"/>
          <w:szCs w:val="24"/>
        </w:rPr>
        <w:t xml:space="preserve">pelo </w:t>
      </w:r>
      <w:r w:rsidRPr="00E95CEE">
        <w:rPr>
          <w:rFonts w:ascii="Times New Roman" w:eastAsia="DejaVu Sans" w:hAnsi="Times New Roman" w:cs="Times New Roman"/>
          <w:color w:val="000000" w:themeColor="text1"/>
          <w:kern w:val="2"/>
          <w:sz w:val="24"/>
          <w:szCs w:val="24"/>
        </w:rPr>
        <w:t>Presidente da Câmara é uma das matérias mais importantes entre as analisadas pelo TCE durante o ano.</w:t>
      </w:r>
    </w:p>
    <w:p w14:paraId="2F46CCBB" w14:textId="605D67E7" w:rsidR="00167CAF" w:rsidRPr="00E95CEE" w:rsidRDefault="00167CAF"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A lei estabelece que compete ao Tribunal</w:t>
      </w:r>
      <w:r w:rsidR="001C1ACE" w:rsidRPr="00E95CEE">
        <w:rPr>
          <w:rFonts w:ascii="Times New Roman" w:eastAsia="DejaVu Sans" w:hAnsi="Times New Roman" w:cs="Times New Roman"/>
          <w:color w:val="000000" w:themeColor="text1"/>
          <w:kern w:val="2"/>
          <w:sz w:val="24"/>
          <w:szCs w:val="24"/>
        </w:rPr>
        <w:t xml:space="preserve"> de Contas</w:t>
      </w:r>
      <w:r w:rsidRPr="00E95CEE">
        <w:rPr>
          <w:rFonts w:ascii="Times New Roman" w:eastAsia="DejaVu Sans" w:hAnsi="Times New Roman" w:cs="Times New Roman"/>
          <w:color w:val="000000" w:themeColor="text1"/>
          <w:kern w:val="2"/>
          <w:sz w:val="24"/>
          <w:szCs w:val="24"/>
        </w:rPr>
        <w:t>, em auxílio ao controle externo a cargo da Câmara de Vereadores, emitir parecer prévio sobre as contas anuais. A apreciação tem caráter geral e o objetivo de demonstrar se o balanço anual do Município reflete, adequadamente, a posição orçamentária, patrimonial e financeira em 31 de dezembro e se as operações estão de acordo com os princípios fundamentais de contabilidade à administração pública.</w:t>
      </w:r>
    </w:p>
    <w:p w14:paraId="4A28DFF9" w14:textId="763A58BC" w:rsidR="00167CAF" w:rsidRPr="00E95CEE" w:rsidRDefault="00167CAF"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lastRenderedPageBreak/>
        <w:t xml:space="preserve">A partir da entrega da prestação de contas pelo Executivo Municipal, o TCE tem 60 </w:t>
      </w:r>
      <w:r w:rsidR="001C1ACE" w:rsidRPr="00E95CEE">
        <w:rPr>
          <w:rFonts w:ascii="Times New Roman" w:eastAsia="DejaVu Sans" w:hAnsi="Times New Roman" w:cs="Times New Roman"/>
          <w:color w:val="000000" w:themeColor="text1"/>
          <w:kern w:val="2"/>
          <w:sz w:val="24"/>
          <w:szCs w:val="24"/>
        </w:rPr>
        <w:t xml:space="preserve">(sessenta) </w:t>
      </w:r>
      <w:r w:rsidRPr="00E95CEE">
        <w:rPr>
          <w:rFonts w:ascii="Times New Roman" w:eastAsia="DejaVu Sans" w:hAnsi="Times New Roman" w:cs="Times New Roman"/>
          <w:color w:val="000000" w:themeColor="text1"/>
          <w:kern w:val="2"/>
          <w:sz w:val="24"/>
          <w:szCs w:val="24"/>
        </w:rPr>
        <w:t xml:space="preserve">dias para apreciar e encaminhar o parecer prévio ao Legislativo, a quem cabe aprovar ou rejeitar a matéria em conformidade com o seu </w:t>
      </w:r>
      <w:r w:rsidR="001C1ACE" w:rsidRPr="00E95CEE">
        <w:rPr>
          <w:rFonts w:ascii="Times New Roman" w:eastAsia="DejaVu Sans" w:hAnsi="Times New Roman" w:cs="Times New Roman"/>
          <w:color w:val="000000" w:themeColor="text1"/>
          <w:kern w:val="2"/>
          <w:sz w:val="24"/>
          <w:szCs w:val="24"/>
        </w:rPr>
        <w:t>Regimento Interno</w:t>
      </w:r>
      <w:r w:rsidRPr="00E95CEE">
        <w:rPr>
          <w:rFonts w:ascii="Times New Roman" w:eastAsia="DejaVu Sans" w:hAnsi="Times New Roman" w:cs="Times New Roman"/>
          <w:color w:val="000000" w:themeColor="text1"/>
          <w:kern w:val="2"/>
          <w:sz w:val="24"/>
          <w:szCs w:val="24"/>
        </w:rPr>
        <w:t xml:space="preserve">. </w:t>
      </w:r>
    </w:p>
    <w:p w14:paraId="12591F94" w14:textId="05252A40"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 xml:space="preserve">O Tribunal de Contas </w:t>
      </w:r>
      <w:r w:rsidR="00E95CEE">
        <w:rPr>
          <w:rFonts w:ascii="Times New Roman" w:eastAsia="DejaVu Sans" w:hAnsi="Times New Roman" w:cs="Times New Roman"/>
          <w:color w:val="000000" w:themeColor="text1"/>
          <w:kern w:val="2"/>
          <w:sz w:val="24"/>
          <w:szCs w:val="24"/>
        </w:rPr>
        <w:t xml:space="preserve">do Estado </w:t>
      </w:r>
      <w:r w:rsidRPr="00E95CEE">
        <w:rPr>
          <w:rFonts w:ascii="Times New Roman" w:eastAsia="DejaVu Sans" w:hAnsi="Times New Roman" w:cs="Times New Roman"/>
          <w:color w:val="000000" w:themeColor="text1"/>
          <w:kern w:val="2"/>
          <w:sz w:val="24"/>
          <w:szCs w:val="24"/>
        </w:rPr>
        <w:t>é o órgão de controle externo da gestão dos recursos públicos, bem como responsável pela prestação de auxílio técnico ao Poder Legislativo.</w:t>
      </w:r>
      <w:r w:rsidR="001C1ACE" w:rsidRPr="00E95CEE">
        <w:rPr>
          <w:rFonts w:ascii="Times New Roman" w:eastAsia="DejaVu Sans" w:hAnsi="Times New Roman" w:cs="Times New Roman"/>
          <w:color w:val="000000" w:themeColor="text1"/>
          <w:kern w:val="2"/>
          <w:sz w:val="24"/>
          <w:szCs w:val="24"/>
        </w:rPr>
        <w:t xml:space="preserve"> </w:t>
      </w:r>
      <w:r w:rsidRPr="00E95CEE">
        <w:rPr>
          <w:rFonts w:ascii="Times New Roman" w:eastAsia="DejaVu Sans" w:hAnsi="Times New Roman" w:cs="Times New Roman"/>
          <w:color w:val="000000" w:themeColor="text1"/>
          <w:kern w:val="2"/>
          <w:sz w:val="24"/>
          <w:szCs w:val="24"/>
        </w:rPr>
        <w:t xml:space="preserve">O controle externo exercido pelo </w:t>
      </w:r>
      <w:r w:rsidR="00E95CEE">
        <w:rPr>
          <w:rFonts w:ascii="Times New Roman" w:eastAsia="DejaVu Sans" w:hAnsi="Times New Roman" w:cs="Times New Roman"/>
          <w:color w:val="000000" w:themeColor="text1"/>
          <w:kern w:val="2"/>
          <w:sz w:val="24"/>
          <w:szCs w:val="24"/>
        </w:rPr>
        <w:t>Pretório</w:t>
      </w:r>
      <w:r w:rsidRPr="00E95CEE">
        <w:rPr>
          <w:rFonts w:ascii="Times New Roman" w:eastAsia="DejaVu Sans" w:hAnsi="Times New Roman" w:cs="Times New Roman"/>
          <w:color w:val="000000" w:themeColor="text1"/>
          <w:kern w:val="2"/>
          <w:sz w:val="24"/>
          <w:szCs w:val="24"/>
        </w:rPr>
        <w:t xml:space="preserve"> compreende a fiscalização contábil, financeira, orçamentária, operacional e patrimonial, abrangendo os aspectos de legalidade, legitimidade, economicidade e razoabilidade de atos que gerem receita ou despesa pública.</w:t>
      </w:r>
    </w:p>
    <w:p w14:paraId="77F31C7A" w14:textId="7DD27E09"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É de se ressaltar que o caráter do parecer prévio do Tribunal de Contas é eminentemente técnico, adentrando na correspondência entre receitas e despesas do orçamento público e, ademais, analisando o cumprimento dos requisitos legais e constitucionais respectivos.</w:t>
      </w:r>
    </w:p>
    <w:p w14:paraId="64DCCAA2" w14:textId="0F3A2698"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 xml:space="preserve">Portanto, o parecer prévio emitido pelo </w:t>
      </w:r>
      <w:r w:rsidR="001C1ACE" w:rsidRPr="00E95CEE">
        <w:rPr>
          <w:rFonts w:ascii="Times New Roman" w:eastAsia="DejaVu Sans" w:hAnsi="Times New Roman" w:cs="Times New Roman"/>
          <w:color w:val="000000" w:themeColor="text1"/>
          <w:kern w:val="2"/>
          <w:sz w:val="24"/>
          <w:szCs w:val="24"/>
        </w:rPr>
        <w:t>TCE</w:t>
      </w:r>
      <w:r w:rsidRPr="00E95CEE">
        <w:rPr>
          <w:rFonts w:ascii="Times New Roman" w:eastAsia="DejaVu Sans" w:hAnsi="Times New Roman" w:cs="Times New Roman"/>
          <w:color w:val="000000" w:themeColor="text1"/>
          <w:kern w:val="2"/>
          <w:sz w:val="24"/>
          <w:szCs w:val="24"/>
        </w:rPr>
        <w:t xml:space="preserve"> constitui peça técnico-jurídica de natureza opinativa, com o objetivo de subsidiar o julgamento das contas pelo Legislativo</w:t>
      </w:r>
      <w:r w:rsidR="001C1ACE" w:rsidRPr="00E95CEE">
        <w:rPr>
          <w:rFonts w:ascii="Times New Roman" w:eastAsia="DejaVu Sans" w:hAnsi="Times New Roman" w:cs="Times New Roman"/>
          <w:color w:val="000000" w:themeColor="text1"/>
          <w:kern w:val="2"/>
          <w:sz w:val="24"/>
          <w:szCs w:val="24"/>
        </w:rPr>
        <w:t xml:space="preserve"> Municipal</w:t>
      </w:r>
      <w:r w:rsidRPr="00E95CEE">
        <w:rPr>
          <w:rFonts w:ascii="Times New Roman" w:eastAsia="DejaVu Sans" w:hAnsi="Times New Roman" w:cs="Times New Roman"/>
          <w:color w:val="000000" w:themeColor="text1"/>
          <w:kern w:val="2"/>
          <w:sz w:val="24"/>
          <w:szCs w:val="24"/>
        </w:rPr>
        <w:t>.</w:t>
      </w:r>
    </w:p>
    <w:p w14:paraId="104420FA" w14:textId="47890248" w:rsidR="00DC5935" w:rsidRPr="00E95CEE" w:rsidRDefault="00DC5935"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De certo que o Tribunal de Contas é órgão consultivo e que auxilia os membros do Legislativo, no julgamento das contas do Município. Certo ainda é que a administração pública, na sua atividade de governar, governa por força de uma outorga dos governados, portanto, é mais um cidadão que foi investido em uma função de comando.</w:t>
      </w:r>
    </w:p>
    <w:p w14:paraId="20B1E3C6" w14:textId="77777777" w:rsidR="00DC5935" w:rsidRPr="00E95CEE" w:rsidRDefault="00DC5935"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Somente se o governante não for fiel ao seu mandato recebido é que será responsabilizado por seus atos. Com vista à boa gestão dos interesses públicos, a atuação do administrador público está sujeita a certos controles, o que no caso em análise está sendo efetuado a fiscalização dos atos do Poder Executivo pela Câmara Municipal.</w:t>
      </w:r>
    </w:p>
    <w:p w14:paraId="6300308C" w14:textId="1195988D"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 xml:space="preserve">A matéria relacionada à obrigatoriedade, apreciação e ao julgamento das contas anuais prestadas pelo </w:t>
      </w:r>
      <w:r w:rsidR="00E95CEE" w:rsidRPr="00E95CEE">
        <w:rPr>
          <w:rFonts w:ascii="Times New Roman" w:eastAsia="DejaVu Sans" w:hAnsi="Times New Roman" w:cs="Times New Roman"/>
          <w:color w:val="000000" w:themeColor="text1"/>
          <w:kern w:val="2"/>
          <w:sz w:val="24"/>
          <w:szCs w:val="24"/>
        </w:rPr>
        <w:t xml:space="preserve">Chefe </w:t>
      </w:r>
      <w:r w:rsidRPr="00E95CEE">
        <w:rPr>
          <w:rFonts w:ascii="Times New Roman" w:eastAsia="DejaVu Sans" w:hAnsi="Times New Roman" w:cs="Times New Roman"/>
          <w:color w:val="000000" w:themeColor="text1"/>
          <w:kern w:val="2"/>
          <w:sz w:val="24"/>
          <w:szCs w:val="24"/>
        </w:rPr>
        <w:t>do Poder Executivo é tratada pela Constituição da República de 1988, notadamente nos art</w:t>
      </w:r>
      <w:r w:rsidR="00E95CEE" w:rsidRPr="00E95CEE">
        <w:rPr>
          <w:rFonts w:ascii="Times New Roman" w:eastAsia="DejaVu Sans" w:hAnsi="Times New Roman" w:cs="Times New Roman"/>
          <w:color w:val="000000" w:themeColor="text1"/>
          <w:kern w:val="2"/>
          <w:sz w:val="24"/>
          <w:szCs w:val="24"/>
        </w:rPr>
        <w:t>igos</w:t>
      </w:r>
      <w:r w:rsidRPr="00E95CEE">
        <w:rPr>
          <w:rFonts w:ascii="Times New Roman" w:eastAsia="DejaVu Sans" w:hAnsi="Times New Roman" w:cs="Times New Roman"/>
          <w:color w:val="000000" w:themeColor="text1"/>
          <w:kern w:val="2"/>
          <w:sz w:val="24"/>
          <w:szCs w:val="24"/>
        </w:rPr>
        <w:t xml:space="preserve"> 70 e 71, I, e, especialmente para os municípios, no art</w:t>
      </w:r>
      <w:r w:rsidR="00E95CEE" w:rsidRPr="00E95CEE">
        <w:rPr>
          <w:rFonts w:ascii="Times New Roman" w:eastAsia="DejaVu Sans" w:hAnsi="Times New Roman" w:cs="Times New Roman"/>
          <w:color w:val="000000" w:themeColor="text1"/>
          <w:kern w:val="2"/>
          <w:sz w:val="24"/>
          <w:szCs w:val="24"/>
        </w:rPr>
        <w:t>igo</w:t>
      </w:r>
      <w:r w:rsidRPr="00E95CEE">
        <w:rPr>
          <w:rFonts w:ascii="Times New Roman" w:eastAsia="DejaVu Sans" w:hAnsi="Times New Roman" w:cs="Times New Roman"/>
          <w:color w:val="000000" w:themeColor="text1"/>
          <w:kern w:val="2"/>
          <w:sz w:val="24"/>
          <w:szCs w:val="24"/>
        </w:rPr>
        <w:t xml:space="preserve"> 31, §§ 1º e 2º, devendo essas prescrições serem simetricamente observadas pelas Constituições dos Estados e Leis Orgânicas dos Municípios.</w:t>
      </w:r>
    </w:p>
    <w:p w14:paraId="0AD0FF62" w14:textId="3B0A4F04"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 xml:space="preserve">Veja-se o disposto no artigo 31 da Constituição </w:t>
      </w:r>
      <w:r w:rsidR="00E95CEE" w:rsidRPr="00E95CEE">
        <w:rPr>
          <w:rFonts w:ascii="Times New Roman" w:eastAsia="DejaVu Sans" w:hAnsi="Times New Roman" w:cs="Times New Roman"/>
          <w:color w:val="000000" w:themeColor="text1"/>
          <w:kern w:val="2"/>
          <w:sz w:val="24"/>
          <w:szCs w:val="24"/>
        </w:rPr>
        <w:t>Federal</w:t>
      </w:r>
      <w:r w:rsidRPr="00E95CEE">
        <w:rPr>
          <w:rFonts w:ascii="Times New Roman" w:eastAsia="DejaVu Sans" w:hAnsi="Times New Roman" w:cs="Times New Roman"/>
          <w:color w:val="000000" w:themeColor="text1"/>
          <w:kern w:val="2"/>
          <w:sz w:val="24"/>
          <w:szCs w:val="24"/>
        </w:rPr>
        <w:t>:</w:t>
      </w:r>
    </w:p>
    <w:p w14:paraId="203B548F" w14:textId="77777777" w:rsidR="001C1ACE" w:rsidRPr="00E95CEE" w:rsidRDefault="001C1ACE" w:rsidP="00E95CEE">
      <w:pPr>
        <w:spacing w:after="120" w:line="240" w:lineRule="auto"/>
        <w:ind w:firstLine="1418"/>
        <w:jc w:val="both"/>
        <w:rPr>
          <w:rFonts w:ascii="Times New Roman" w:eastAsia="DejaVu Sans" w:hAnsi="Times New Roman" w:cs="Times New Roman"/>
          <w:color w:val="000000" w:themeColor="text1"/>
          <w:kern w:val="2"/>
          <w:sz w:val="24"/>
          <w:szCs w:val="24"/>
        </w:rPr>
      </w:pPr>
    </w:p>
    <w:p w14:paraId="121E0746" w14:textId="77777777" w:rsidR="00257966" w:rsidRPr="00E95CEE" w:rsidRDefault="00257966" w:rsidP="00E95CEE">
      <w:pPr>
        <w:spacing w:after="120" w:line="240" w:lineRule="auto"/>
        <w:ind w:left="2835"/>
        <w:jc w:val="both"/>
        <w:rPr>
          <w:rFonts w:ascii="Times New Roman" w:eastAsia="DejaVu Sans" w:hAnsi="Times New Roman" w:cs="Times New Roman"/>
          <w:i/>
          <w:iCs/>
          <w:color w:val="000000" w:themeColor="text1"/>
          <w:kern w:val="2"/>
          <w:sz w:val="24"/>
          <w:szCs w:val="24"/>
        </w:rPr>
      </w:pPr>
      <w:r w:rsidRPr="00E95CEE">
        <w:rPr>
          <w:rFonts w:ascii="Times New Roman" w:eastAsia="DejaVu Sans" w:hAnsi="Times New Roman" w:cs="Times New Roman"/>
          <w:i/>
          <w:iCs/>
          <w:color w:val="000000" w:themeColor="text1"/>
          <w:kern w:val="2"/>
          <w:sz w:val="24"/>
          <w:szCs w:val="24"/>
        </w:rPr>
        <w:t xml:space="preserve">Art. 31. A fiscalização do Município será exercida pelo Poder Legislativo Municipal, mediante controle externo, e pelos sistemas de controle interno do Poder Executivo Municipal, na forma da lei. </w:t>
      </w:r>
    </w:p>
    <w:p w14:paraId="388F75FA" w14:textId="77777777" w:rsidR="00257966" w:rsidRPr="00E95CEE" w:rsidRDefault="00257966" w:rsidP="00E95CEE">
      <w:pPr>
        <w:spacing w:after="120" w:line="240" w:lineRule="auto"/>
        <w:ind w:left="2835"/>
        <w:jc w:val="both"/>
        <w:rPr>
          <w:rFonts w:ascii="Times New Roman" w:eastAsia="DejaVu Sans" w:hAnsi="Times New Roman" w:cs="Times New Roman"/>
          <w:i/>
          <w:iCs/>
          <w:color w:val="000000" w:themeColor="text1"/>
          <w:kern w:val="2"/>
          <w:sz w:val="24"/>
          <w:szCs w:val="24"/>
        </w:rPr>
      </w:pPr>
      <w:r w:rsidRPr="00E95CEE">
        <w:rPr>
          <w:rFonts w:ascii="Times New Roman" w:eastAsia="DejaVu Sans" w:hAnsi="Times New Roman" w:cs="Times New Roman"/>
          <w:i/>
          <w:iCs/>
          <w:color w:val="000000" w:themeColor="text1"/>
          <w:kern w:val="2"/>
          <w:sz w:val="24"/>
          <w:szCs w:val="24"/>
        </w:rPr>
        <w:t>[...]</w:t>
      </w:r>
    </w:p>
    <w:p w14:paraId="42A8CA75" w14:textId="6085B12C" w:rsidR="00257966" w:rsidRPr="00E95CEE" w:rsidRDefault="00257966" w:rsidP="00E95CEE">
      <w:pPr>
        <w:spacing w:after="120" w:line="240" w:lineRule="auto"/>
        <w:ind w:left="2835"/>
        <w:jc w:val="both"/>
        <w:rPr>
          <w:rFonts w:ascii="Times New Roman" w:eastAsia="DejaVu Sans" w:hAnsi="Times New Roman" w:cs="Times New Roman"/>
          <w:i/>
          <w:iCs/>
          <w:color w:val="000000" w:themeColor="text1"/>
          <w:kern w:val="2"/>
          <w:sz w:val="24"/>
          <w:szCs w:val="24"/>
        </w:rPr>
      </w:pPr>
      <w:r w:rsidRPr="00E95CEE">
        <w:rPr>
          <w:rFonts w:ascii="Times New Roman" w:eastAsia="DejaVu Sans" w:hAnsi="Times New Roman" w:cs="Times New Roman"/>
          <w:i/>
          <w:iCs/>
          <w:color w:val="000000" w:themeColor="text1"/>
          <w:kern w:val="2"/>
          <w:sz w:val="24"/>
          <w:szCs w:val="24"/>
        </w:rPr>
        <w:t>§ 2º O parecer prévio, emitido pelo órgão competente sobre as contas que o Prefeito deve anualmente prestar, só deixará de prevalecer por decisão de dois terços dos membros da Câmara Municipal.</w:t>
      </w:r>
    </w:p>
    <w:p w14:paraId="53D620A9" w14:textId="77777777" w:rsidR="001C1ACE" w:rsidRPr="00E95CEE" w:rsidRDefault="001C1ACE" w:rsidP="00E95CEE">
      <w:pPr>
        <w:spacing w:after="120" w:line="240" w:lineRule="auto"/>
        <w:ind w:firstLine="1418"/>
        <w:jc w:val="both"/>
        <w:rPr>
          <w:rFonts w:ascii="Times New Roman" w:eastAsia="DejaVu Sans" w:hAnsi="Times New Roman" w:cs="Times New Roman"/>
          <w:color w:val="000000" w:themeColor="text1"/>
          <w:kern w:val="2"/>
          <w:sz w:val="24"/>
          <w:szCs w:val="24"/>
        </w:rPr>
      </w:pPr>
    </w:p>
    <w:p w14:paraId="5A137942" w14:textId="145690B9"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lastRenderedPageBreak/>
        <w:t xml:space="preserve">A sinopse constitucional acerca da matéria, portanto, é bastante clara e precisa, pois, segundo a </w:t>
      </w:r>
      <w:r w:rsidR="00E95CEE" w:rsidRPr="00E95CEE">
        <w:rPr>
          <w:rFonts w:ascii="Times New Roman" w:eastAsia="DejaVu Sans" w:hAnsi="Times New Roman" w:cs="Times New Roman"/>
          <w:color w:val="000000" w:themeColor="text1"/>
          <w:kern w:val="2"/>
          <w:sz w:val="24"/>
          <w:szCs w:val="24"/>
        </w:rPr>
        <w:t>CF</w:t>
      </w:r>
      <w:r w:rsidRPr="00E95CEE">
        <w:rPr>
          <w:rFonts w:ascii="Times New Roman" w:eastAsia="DejaVu Sans" w:hAnsi="Times New Roman" w:cs="Times New Roman"/>
          <w:color w:val="000000" w:themeColor="text1"/>
          <w:kern w:val="2"/>
          <w:sz w:val="24"/>
          <w:szCs w:val="24"/>
        </w:rPr>
        <w:t xml:space="preserve">, compete ao Legislativo, e somente a esse Poder </w:t>
      </w:r>
      <w:r w:rsidR="00E95CEE" w:rsidRPr="00E95CEE">
        <w:rPr>
          <w:rFonts w:ascii="Times New Roman" w:eastAsia="DejaVu Sans" w:hAnsi="Times New Roman" w:cs="Times New Roman"/>
          <w:color w:val="000000" w:themeColor="text1"/>
          <w:kern w:val="2"/>
          <w:sz w:val="24"/>
          <w:szCs w:val="24"/>
        </w:rPr>
        <w:t xml:space="preserve">da República </w:t>
      </w:r>
      <w:r w:rsidRPr="00E95CEE">
        <w:rPr>
          <w:rFonts w:ascii="Times New Roman" w:eastAsia="DejaVu Sans" w:hAnsi="Times New Roman" w:cs="Times New Roman"/>
          <w:color w:val="000000" w:themeColor="text1"/>
          <w:kern w:val="2"/>
          <w:sz w:val="24"/>
          <w:szCs w:val="24"/>
        </w:rPr>
        <w:t xml:space="preserve">constituído, julgar as contas de governo do </w:t>
      </w:r>
      <w:r w:rsidR="00E95CEE" w:rsidRPr="00E95CEE">
        <w:rPr>
          <w:rFonts w:ascii="Times New Roman" w:eastAsia="DejaVu Sans" w:hAnsi="Times New Roman" w:cs="Times New Roman"/>
          <w:color w:val="000000" w:themeColor="text1"/>
          <w:kern w:val="2"/>
          <w:sz w:val="24"/>
          <w:szCs w:val="24"/>
        </w:rPr>
        <w:t xml:space="preserve">Chefe </w:t>
      </w:r>
      <w:r w:rsidRPr="00E95CEE">
        <w:rPr>
          <w:rFonts w:ascii="Times New Roman" w:eastAsia="DejaVu Sans" w:hAnsi="Times New Roman" w:cs="Times New Roman"/>
          <w:color w:val="000000" w:themeColor="text1"/>
          <w:kern w:val="2"/>
          <w:sz w:val="24"/>
          <w:szCs w:val="24"/>
        </w:rPr>
        <w:t>do Poder Executivo, depois da necessária e indispensável atuação do Tribunal</w:t>
      </w:r>
      <w:r w:rsidR="00E95CEE" w:rsidRPr="00E95CEE">
        <w:rPr>
          <w:rFonts w:ascii="Times New Roman" w:eastAsia="DejaVu Sans" w:hAnsi="Times New Roman" w:cs="Times New Roman"/>
          <w:color w:val="000000" w:themeColor="text1"/>
          <w:kern w:val="2"/>
          <w:sz w:val="24"/>
          <w:szCs w:val="24"/>
        </w:rPr>
        <w:t xml:space="preserve"> de Contas</w:t>
      </w:r>
      <w:r w:rsidRPr="00E95CEE">
        <w:rPr>
          <w:rFonts w:ascii="Times New Roman" w:eastAsia="DejaVu Sans" w:hAnsi="Times New Roman" w:cs="Times New Roman"/>
          <w:color w:val="000000" w:themeColor="text1"/>
          <w:kern w:val="2"/>
          <w:sz w:val="24"/>
          <w:szCs w:val="24"/>
        </w:rPr>
        <w:t>, mediante a emissão de parecer prévio sobre tais contas.</w:t>
      </w:r>
    </w:p>
    <w:p w14:paraId="4640C459" w14:textId="57FACEE4"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Desta forma, no exercício de suas atribuições constitucionais, o TCE/MG concluiu que não há irregularidades na prestação de contas, tendo em vista que o Chefe do Executivo Sete-</w:t>
      </w:r>
      <w:proofErr w:type="spellStart"/>
      <w:r w:rsidRPr="00E95CEE">
        <w:rPr>
          <w:rFonts w:ascii="Times New Roman" w:eastAsia="DejaVu Sans" w:hAnsi="Times New Roman" w:cs="Times New Roman"/>
          <w:color w:val="000000" w:themeColor="text1"/>
          <w:kern w:val="2"/>
          <w:sz w:val="24"/>
          <w:szCs w:val="24"/>
        </w:rPr>
        <w:t>Lagoano</w:t>
      </w:r>
      <w:proofErr w:type="spellEnd"/>
      <w:r w:rsidRPr="00E95CEE">
        <w:rPr>
          <w:rFonts w:ascii="Times New Roman" w:eastAsia="DejaVu Sans" w:hAnsi="Times New Roman" w:cs="Times New Roman"/>
          <w:color w:val="000000" w:themeColor="text1"/>
          <w:kern w:val="2"/>
          <w:sz w:val="24"/>
          <w:szCs w:val="24"/>
        </w:rPr>
        <w:t xml:space="preserve"> cumpriu totalmente as disposições constitucionais e legais aplicáveis à matéria.</w:t>
      </w:r>
    </w:p>
    <w:p w14:paraId="272F72E2" w14:textId="7821A33B"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Sumariamente, não se verifica ilegalidade no objeto do projeto</w:t>
      </w:r>
      <w:r w:rsidR="00DC5935" w:rsidRPr="00E95CEE">
        <w:rPr>
          <w:rFonts w:ascii="Times New Roman" w:eastAsia="DejaVu Sans" w:hAnsi="Times New Roman" w:cs="Times New Roman"/>
          <w:color w:val="000000" w:themeColor="text1"/>
          <w:kern w:val="2"/>
          <w:sz w:val="24"/>
          <w:szCs w:val="24"/>
        </w:rPr>
        <w:t xml:space="preserve"> de resolução apresentado</w:t>
      </w:r>
      <w:r w:rsidRPr="00E95CEE">
        <w:rPr>
          <w:rFonts w:ascii="Times New Roman" w:eastAsia="DejaVu Sans" w:hAnsi="Times New Roman" w:cs="Times New Roman"/>
          <w:color w:val="000000" w:themeColor="text1"/>
          <w:kern w:val="2"/>
          <w:sz w:val="24"/>
          <w:szCs w:val="24"/>
        </w:rPr>
        <w:t>, sendo</w:t>
      </w:r>
      <w:r w:rsidR="00DC5935" w:rsidRPr="00E95CEE">
        <w:rPr>
          <w:rFonts w:ascii="Times New Roman" w:eastAsia="DejaVu Sans" w:hAnsi="Times New Roman" w:cs="Times New Roman"/>
          <w:color w:val="000000" w:themeColor="text1"/>
          <w:kern w:val="2"/>
          <w:sz w:val="24"/>
          <w:szCs w:val="24"/>
        </w:rPr>
        <w:t xml:space="preserve"> que este possui</w:t>
      </w:r>
      <w:r w:rsidRPr="00E95CEE">
        <w:rPr>
          <w:rFonts w:ascii="Times New Roman" w:eastAsia="DejaVu Sans" w:hAnsi="Times New Roman" w:cs="Times New Roman"/>
          <w:color w:val="000000" w:themeColor="text1"/>
          <w:kern w:val="2"/>
          <w:sz w:val="24"/>
          <w:szCs w:val="24"/>
        </w:rPr>
        <w:t xml:space="preserve"> o caráter político e meritório acerca da aprovação ou rejeição das contas.</w:t>
      </w:r>
    </w:p>
    <w:p w14:paraId="429B9949" w14:textId="1191AA5C" w:rsidR="00257966" w:rsidRPr="00E95CEE" w:rsidRDefault="00257966"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Portanto, nos termos de toda a legislação aplicável à espécie</w:t>
      </w:r>
      <w:r w:rsidR="00E95CEE" w:rsidRPr="00E95CEE">
        <w:rPr>
          <w:rFonts w:ascii="Times New Roman" w:eastAsia="DejaVu Sans" w:hAnsi="Times New Roman" w:cs="Times New Roman"/>
          <w:color w:val="000000" w:themeColor="text1"/>
          <w:kern w:val="2"/>
          <w:sz w:val="24"/>
          <w:szCs w:val="24"/>
        </w:rPr>
        <w:t xml:space="preserve">, a saber: </w:t>
      </w:r>
      <w:r w:rsidRPr="00E95CEE">
        <w:rPr>
          <w:rFonts w:ascii="Times New Roman" w:eastAsia="DejaVu Sans" w:hAnsi="Times New Roman" w:cs="Times New Roman"/>
          <w:color w:val="000000" w:themeColor="text1"/>
          <w:kern w:val="2"/>
          <w:sz w:val="24"/>
          <w:szCs w:val="24"/>
        </w:rPr>
        <w:t>Constituição Federal, Lei Orgânica</w:t>
      </w:r>
      <w:r w:rsidR="00E95CEE" w:rsidRPr="00E95CEE">
        <w:rPr>
          <w:rFonts w:ascii="Times New Roman" w:eastAsia="DejaVu Sans" w:hAnsi="Times New Roman" w:cs="Times New Roman"/>
          <w:color w:val="000000" w:themeColor="text1"/>
          <w:kern w:val="2"/>
          <w:sz w:val="24"/>
          <w:szCs w:val="24"/>
        </w:rPr>
        <w:t xml:space="preserve"> do Município</w:t>
      </w:r>
      <w:r w:rsidRPr="00E95CEE">
        <w:rPr>
          <w:rFonts w:ascii="Times New Roman" w:eastAsia="DejaVu Sans" w:hAnsi="Times New Roman" w:cs="Times New Roman"/>
          <w:color w:val="000000" w:themeColor="text1"/>
          <w:kern w:val="2"/>
          <w:sz w:val="24"/>
          <w:szCs w:val="24"/>
        </w:rPr>
        <w:t xml:space="preserve"> e Regimento Interno </w:t>
      </w:r>
      <w:r w:rsidR="00E95CEE" w:rsidRPr="00E95CEE">
        <w:rPr>
          <w:rFonts w:ascii="Times New Roman" w:eastAsia="DejaVu Sans" w:hAnsi="Times New Roman" w:cs="Times New Roman"/>
          <w:color w:val="000000" w:themeColor="text1"/>
          <w:kern w:val="2"/>
          <w:sz w:val="24"/>
          <w:szCs w:val="24"/>
        </w:rPr>
        <w:t>da Câmara Municipal</w:t>
      </w:r>
      <w:r w:rsidRPr="00E95CEE">
        <w:rPr>
          <w:rFonts w:ascii="Times New Roman" w:eastAsia="DejaVu Sans" w:hAnsi="Times New Roman" w:cs="Times New Roman"/>
          <w:color w:val="000000" w:themeColor="text1"/>
          <w:kern w:val="2"/>
          <w:sz w:val="24"/>
          <w:szCs w:val="24"/>
        </w:rPr>
        <w:t xml:space="preserve"> – o </w:t>
      </w:r>
      <w:r w:rsidR="00E95CEE" w:rsidRPr="00E95CEE">
        <w:rPr>
          <w:rFonts w:ascii="Times New Roman" w:eastAsia="DejaVu Sans" w:hAnsi="Times New Roman" w:cs="Times New Roman"/>
          <w:color w:val="000000" w:themeColor="text1"/>
          <w:kern w:val="2"/>
          <w:sz w:val="24"/>
          <w:szCs w:val="24"/>
        </w:rPr>
        <w:t xml:space="preserve">Projeto de Resolução </w:t>
      </w:r>
      <w:r w:rsidRPr="00E95CEE">
        <w:rPr>
          <w:rFonts w:ascii="Times New Roman" w:eastAsia="DejaVu Sans" w:hAnsi="Times New Roman" w:cs="Times New Roman"/>
          <w:color w:val="000000" w:themeColor="text1"/>
          <w:kern w:val="2"/>
          <w:sz w:val="24"/>
          <w:szCs w:val="24"/>
        </w:rPr>
        <w:t>é legal e constitucional</w:t>
      </w:r>
      <w:r w:rsidR="00DC5935" w:rsidRPr="00E95CEE">
        <w:rPr>
          <w:rFonts w:ascii="Times New Roman" w:eastAsia="DejaVu Sans" w:hAnsi="Times New Roman" w:cs="Times New Roman"/>
          <w:color w:val="000000" w:themeColor="text1"/>
          <w:kern w:val="2"/>
          <w:sz w:val="24"/>
          <w:szCs w:val="24"/>
        </w:rPr>
        <w:t>.</w:t>
      </w:r>
    </w:p>
    <w:p w14:paraId="6E666660" w14:textId="77777777" w:rsidR="008129C4" w:rsidRPr="00E95CEE" w:rsidRDefault="008129C4" w:rsidP="00E95CEE">
      <w:pPr>
        <w:spacing w:after="120" w:line="240" w:lineRule="auto"/>
        <w:ind w:firstLine="1418"/>
        <w:jc w:val="both"/>
        <w:rPr>
          <w:rFonts w:ascii="Times New Roman" w:eastAsia="DejaVu Sans" w:hAnsi="Times New Roman" w:cs="Times New Roman"/>
          <w:color w:val="000000" w:themeColor="text1"/>
          <w:kern w:val="2"/>
          <w:sz w:val="24"/>
          <w:szCs w:val="24"/>
        </w:rPr>
      </w:pPr>
    </w:p>
    <w:p w14:paraId="44C699D5" w14:textId="1C4156F4" w:rsidR="00D043F1" w:rsidRPr="00E95CEE" w:rsidRDefault="00FF281B" w:rsidP="00E95CEE">
      <w:pPr>
        <w:spacing w:after="120" w:line="240" w:lineRule="auto"/>
        <w:ind w:firstLine="1418"/>
        <w:jc w:val="both"/>
        <w:rPr>
          <w:rFonts w:ascii="Times New Roman" w:eastAsia="DejaVu Sans" w:hAnsi="Times New Roman" w:cs="Times New Roman"/>
          <w:b/>
          <w:color w:val="000000" w:themeColor="text1"/>
          <w:kern w:val="2"/>
          <w:sz w:val="24"/>
          <w:szCs w:val="24"/>
          <w:u w:val="single"/>
        </w:rPr>
      </w:pPr>
      <w:r w:rsidRPr="00E95CEE">
        <w:rPr>
          <w:rFonts w:ascii="Times New Roman" w:eastAsia="DejaVu Sans" w:hAnsi="Times New Roman" w:cs="Times New Roman"/>
          <w:b/>
          <w:color w:val="000000" w:themeColor="text1"/>
          <w:kern w:val="2"/>
          <w:sz w:val="24"/>
          <w:szCs w:val="24"/>
          <w:u w:val="single"/>
        </w:rPr>
        <w:t>CONCLUSÃO</w:t>
      </w:r>
    </w:p>
    <w:p w14:paraId="3EBC2442" w14:textId="53A3E503" w:rsidR="008129C4" w:rsidRPr="00E95CEE" w:rsidRDefault="008129C4"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 xml:space="preserve">Diante do exposto, </w:t>
      </w:r>
      <w:r w:rsidR="004B1849" w:rsidRPr="00E95CEE">
        <w:rPr>
          <w:rFonts w:ascii="Times New Roman" w:eastAsia="DejaVu Sans" w:hAnsi="Times New Roman" w:cs="Times New Roman"/>
          <w:color w:val="000000" w:themeColor="text1"/>
          <w:kern w:val="2"/>
          <w:sz w:val="24"/>
          <w:szCs w:val="24"/>
        </w:rPr>
        <w:t xml:space="preserve">o parecer </w:t>
      </w:r>
      <w:r w:rsidR="00E95CEE" w:rsidRPr="00E95CEE">
        <w:rPr>
          <w:rFonts w:ascii="Times New Roman" w:eastAsia="DejaVu Sans" w:hAnsi="Times New Roman" w:cs="Times New Roman"/>
          <w:color w:val="000000" w:themeColor="text1"/>
          <w:kern w:val="2"/>
          <w:sz w:val="24"/>
          <w:szCs w:val="24"/>
        </w:rPr>
        <w:t xml:space="preserve">desta relatoria </w:t>
      </w:r>
      <w:r w:rsidR="004B1849" w:rsidRPr="00E95CEE">
        <w:rPr>
          <w:rFonts w:ascii="Times New Roman" w:eastAsia="DejaVu Sans" w:hAnsi="Times New Roman" w:cs="Times New Roman"/>
          <w:color w:val="000000" w:themeColor="text1"/>
          <w:kern w:val="2"/>
          <w:sz w:val="24"/>
          <w:szCs w:val="24"/>
        </w:rPr>
        <w:t>é</w:t>
      </w:r>
      <w:r w:rsidRPr="00E95CEE">
        <w:rPr>
          <w:rFonts w:ascii="Times New Roman" w:eastAsia="DejaVu Sans" w:hAnsi="Times New Roman" w:cs="Times New Roman"/>
          <w:color w:val="000000" w:themeColor="text1"/>
          <w:kern w:val="2"/>
          <w:sz w:val="24"/>
          <w:szCs w:val="24"/>
        </w:rPr>
        <w:t xml:space="preserve"> pela constitucionalidade, legalidade e juridicidade </w:t>
      </w:r>
      <w:r w:rsidR="00DC5935" w:rsidRPr="00E95CEE">
        <w:rPr>
          <w:rFonts w:ascii="Times New Roman" w:eastAsia="DejaVu Sans" w:hAnsi="Times New Roman" w:cs="Times New Roman"/>
          <w:color w:val="000000" w:themeColor="text1"/>
          <w:kern w:val="2"/>
          <w:sz w:val="24"/>
          <w:szCs w:val="24"/>
        </w:rPr>
        <w:t>do</w:t>
      </w:r>
      <w:r w:rsidRPr="00E95CEE">
        <w:rPr>
          <w:rFonts w:ascii="Times New Roman" w:eastAsia="DejaVu Sans" w:hAnsi="Times New Roman" w:cs="Times New Roman"/>
          <w:color w:val="000000" w:themeColor="text1"/>
          <w:kern w:val="2"/>
          <w:sz w:val="24"/>
          <w:szCs w:val="24"/>
        </w:rPr>
        <w:t xml:space="preserve"> Projeto </w:t>
      </w:r>
      <w:r w:rsidR="004B1849" w:rsidRPr="00E95CEE">
        <w:rPr>
          <w:rFonts w:ascii="Times New Roman" w:eastAsia="DejaVu Sans" w:hAnsi="Times New Roman" w:cs="Times New Roman"/>
          <w:color w:val="000000" w:themeColor="text1"/>
          <w:kern w:val="2"/>
          <w:sz w:val="24"/>
          <w:szCs w:val="24"/>
        </w:rPr>
        <w:t>d</w:t>
      </w:r>
      <w:r w:rsidRPr="00E95CEE">
        <w:rPr>
          <w:rFonts w:ascii="Times New Roman" w:eastAsia="DejaVu Sans" w:hAnsi="Times New Roman" w:cs="Times New Roman"/>
          <w:color w:val="000000" w:themeColor="text1"/>
          <w:kern w:val="2"/>
          <w:sz w:val="24"/>
          <w:szCs w:val="24"/>
        </w:rPr>
        <w:t xml:space="preserve">e Resolução nº </w:t>
      </w:r>
      <w:r w:rsidR="00DC5935" w:rsidRPr="00E95CEE">
        <w:rPr>
          <w:rFonts w:ascii="Times New Roman" w:eastAsia="DejaVu Sans" w:hAnsi="Times New Roman" w:cs="Times New Roman"/>
          <w:color w:val="000000" w:themeColor="text1"/>
          <w:kern w:val="2"/>
          <w:sz w:val="24"/>
          <w:szCs w:val="24"/>
        </w:rPr>
        <w:t>16</w:t>
      </w:r>
      <w:r w:rsidRPr="00E95CEE">
        <w:rPr>
          <w:rFonts w:ascii="Times New Roman" w:eastAsia="DejaVu Sans" w:hAnsi="Times New Roman" w:cs="Times New Roman"/>
          <w:color w:val="000000" w:themeColor="text1"/>
          <w:kern w:val="2"/>
          <w:sz w:val="24"/>
          <w:szCs w:val="24"/>
        </w:rPr>
        <w:t>/2021, devendo prosseguir a tramitação regular</w:t>
      </w:r>
      <w:r w:rsidR="00E95CEE" w:rsidRPr="00E95CEE">
        <w:rPr>
          <w:rFonts w:ascii="Times New Roman" w:eastAsia="DejaVu Sans" w:hAnsi="Times New Roman" w:cs="Times New Roman"/>
          <w:color w:val="000000" w:themeColor="text1"/>
          <w:kern w:val="2"/>
          <w:sz w:val="24"/>
          <w:szCs w:val="24"/>
        </w:rPr>
        <w:t xml:space="preserve"> atinente ao processo legislativo</w:t>
      </w:r>
      <w:r w:rsidRPr="00E95CEE">
        <w:rPr>
          <w:rFonts w:ascii="Times New Roman" w:eastAsia="DejaVu Sans" w:hAnsi="Times New Roman" w:cs="Times New Roman"/>
          <w:color w:val="000000" w:themeColor="text1"/>
          <w:kern w:val="2"/>
          <w:sz w:val="24"/>
          <w:szCs w:val="24"/>
        </w:rPr>
        <w:t>.</w:t>
      </w:r>
    </w:p>
    <w:p w14:paraId="7D76D275" w14:textId="77777777" w:rsidR="004B1849" w:rsidRPr="00E95CEE" w:rsidRDefault="004B1849" w:rsidP="00E95CEE">
      <w:pPr>
        <w:spacing w:after="120" w:line="240" w:lineRule="auto"/>
        <w:ind w:firstLine="1418"/>
        <w:jc w:val="both"/>
        <w:rPr>
          <w:rFonts w:ascii="Times New Roman" w:eastAsia="DejaVu Sans" w:hAnsi="Times New Roman" w:cs="Times New Roman"/>
          <w:color w:val="000000" w:themeColor="text1"/>
          <w:kern w:val="2"/>
          <w:sz w:val="24"/>
          <w:szCs w:val="24"/>
        </w:rPr>
      </w:pPr>
    </w:p>
    <w:p w14:paraId="7D95838A" w14:textId="04384318" w:rsidR="00D043F1" w:rsidRPr="00E95CEE" w:rsidRDefault="00D043F1"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Sala das Reuniões</w:t>
      </w:r>
      <w:r w:rsidR="004B1849" w:rsidRPr="00E95CEE">
        <w:rPr>
          <w:rFonts w:ascii="Times New Roman" w:eastAsia="DejaVu Sans" w:hAnsi="Times New Roman" w:cs="Times New Roman"/>
          <w:color w:val="000000" w:themeColor="text1"/>
          <w:kern w:val="2"/>
          <w:sz w:val="24"/>
          <w:szCs w:val="24"/>
        </w:rPr>
        <w:t xml:space="preserve"> das Comissões</w:t>
      </w:r>
      <w:r w:rsidRPr="00E95CEE">
        <w:rPr>
          <w:rFonts w:ascii="Times New Roman" w:eastAsia="DejaVu Sans" w:hAnsi="Times New Roman" w:cs="Times New Roman"/>
          <w:color w:val="000000" w:themeColor="text1"/>
          <w:kern w:val="2"/>
          <w:sz w:val="24"/>
          <w:szCs w:val="24"/>
        </w:rPr>
        <w:t xml:space="preserve">, </w:t>
      </w:r>
      <w:r w:rsidR="00DC5935" w:rsidRPr="00E95CEE">
        <w:rPr>
          <w:rFonts w:ascii="Times New Roman" w:eastAsia="DejaVu Sans" w:hAnsi="Times New Roman" w:cs="Times New Roman"/>
          <w:color w:val="000000" w:themeColor="text1"/>
          <w:kern w:val="2"/>
          <w:sz w:val="24"/>
          <w:szCs w:val="24"/>
        </w:rPr>
        <w:t>02 de setembro</w:t>
      </w:r>
      <w:r w:rsidR="00337061" w:rsidRPr="00E95CEE">
        <w:rPr>
          <w:rFonts w:ascii="Times New Roman" w:eastAsia="DejaVu Sans" w:hAnsi="Times New Roman" w:cs="Times New Roman"/>
          <w:color w:val="000000" w:themeColor="text1"/>
          <w:kern w:val="2"/>
          <w:sz w:val="24"/>
          <w:szCs w:val="24"/>
        </w:rPr>
        <w:t xml:space="preserve"> </w:t>
      </w:r>
      <w:r w:rsidRPr="00E95CEE">
        <w:rPr>
          <w:rFonts w:ascii="Times New Roman" w:eastAsia="DejaVu Sans" w:hAnsi="Times New Roman" w:cs="Times New Roman"/>
          <w:color w:val="000000" w:themeColor="text1"/>
          <w:kern w:val="2"/>
          <w:sz w:val="24"/>
          <w:szCs w:val="24"/>
        </w:rPr>
        <w:t>de 20</w:t>
      </w:r>
      <w:r w:rsidR="00337061" w:rsidRPr="00E95CEE">
        <w:rPr>
          <w:rFonts w:ascii="Times New Roman" w:eastAsia="DejaVu Sans" w:hAnsi="Times New Roman" w:cs="Times New Roman"/>
          <w:color w:val="000000" w:themeColor="text1"/>
          <w:kern w:val="2"/>
          <w:sz w:val="24"/>
          <w:szCs w:val="24"/>
        </w:rPr>
        <w:t>21</w:t>
      </w:r>
      <w:r w:rsidRPr="00E95CEE">
        <w:rPr>
          <w:rFonts w:ascii="Times New Roman" w:eastAsia="DejaVu Sans" w:hAnsi="Times New Roman" w:cs="Times New Roman"/>
          <w:color w:val="000000" w:themeColor="text1"/>
          <w:kern w:val="2"/>
          <w:sz w:val="24"/>
          <w:szCs w:val="24"/>
        </w:rPr>
        <w:t>.</w:t>
      </w:r>
    </w:p>
    <w:p w14:paraId="72E158D4" w14:textId="77777777" w:rsidR="00795510" w:rsidRPr="00E95CEE" w:rsidRDefault="00795510" w:rsidP="00E95CEE">
      <w:pPr>
        <w:spacing w:after="120" w:line="240" w:lineRule="auto"/>
        <w:ind w:firstLine="1418"/>
        <w:jc w:val="both"/>
        <w:rPr>
          <w:rFonts w:ascii="Times New Roman" w:eastAsia="DejaVu Sans" w:hAnsi="Times New Roman" w:cs="Times New Roman"/>
          <w:color w:val="000000" w:themeColor="text1"/>
          <w:kern w:val="2"/>
          <w:sz w:val="24"/>
          <w:szCs w:val="24"/>
        </w:rPr>
      </w:pPr>
    </w:p>
    <w:p w14:paraId="42DFC474" w14:textId="77777777" w:rsidR="00337061" w:rsidRPr="00E95CEE" w:rsidRDefault="00337061" w:rsidP="00E95CEE">
      <w:pPr>
        <w:spacing w:after="120" w:line="240" w:lineRule="auto"/>
        <w:ind w:firstLine="1418"/>
        <w:jc w:val="both"/>
        <w:rPr>
          <w:rFonts w:ascii="Times New Roman" w:eastAsia="DejaVu Sans" w:hAnsi="Times New Roman" w:cs="Times New Roman"/>
          <w:color w:val="000000" w:themeColor="text1"/>
          <w:kern w:val="2"/>
          <w:sz w:val="24"/>
          <w:szCs w:val="24"/>
        </w:rPr>
      </w:pPr>
    </w:p>
    <w:p w14:paraId="58047EDD" w14:textId="1F6810AD" w:rsidR="00D72D0E" w:rsidRPr="00E95CEE" w:rsidRDefault="00337061"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CAIO LUCIUS VALACE DE OLIVEIRA SILVA</w:t>
      </w:r>
    </w:p>
    <w:p w14:paraId="29DA9212" w14:textId="42AF474B" w:rsidR="00D72D0E" w:rsidRPr="00E95CEE" w:rsidRDefault="001F0BF4" w:rsidP="00E95CEE">
      <w:pPr>
        <w:spacing w:after="120" w:line="240" w:lineRule="auto"/>
        <w:ind w:firstLine="1418"/>
        <w:jc w:val="both"/>
        <w:rPr>
          <w:rFonts w:ascii="Times New Roman" w:eastAsia="DejaVu Sans" w:hAnsi="Times New Roman" w:cs="Times New Roman"/>
          <w:color w:val="000000" w:themeColor="text1"/>
          <w:kern w:val="2"/>
          <w:sz w:val="24"/>
          <w:szCs w:val="24"/>
        </w:rPr>
      </w:pPr>
      <w:r w:rsidRPr="00E95CEE">
        <w:rPr>
          <w:rFonts w:ascii="Times New Roman" w:eastAsia="DejaVu Sans" w:hAnsi="Times New Roman" w:cs="Times New Roman"/>
          <w:color w:val="000000" w:themeColor="text1"/>
          <w:kern w:val="2"/>
          <w:sz w:val="24"/>
          <w:szCs w:val="24"/>
        </w:rPr>
        <w:t>Presidente</w:t>
      </w:r>
      <w:r w:rsidR="004B1849" w:rsidRPr="00E95CEE">
        <w:rPr>
          <w:rFonts w:ascii="Times New Roman" w:eastAsia="DejaVu Sans" w:hAnsi="Times New Roman" w:cs="Times New Roman"/>
          <w:color w:val="000000" w:themeColor="text1"/>
          <w:kern w:val="2"/>
          <w:sz w:val="24"/>
          <w:szCs w:val="24"/>
        </w:rPr>
        <w:t xml:space="preserve"> (</w:t>
      </w:r>
      <w:r w:rsidR="00337061" w:rsidRPr="00E95CEE">
        <w:rPr>
          <w:rFonts w:ascii="Times New Roman" w:eastAsia="DejaVu Sans" w:hAnsi="Times New Roman" w:cs="Times New Roman"/>
          <w:color w:val="000000" w:themeColor="text1"/>
          <w:kern w:val="2"/>
          <w:sz w:val="24"/>
          <w:szCs w:val="24"/>
        </w:rPr>
        <w:t>Relator</w:t>
      </w:r>
      <w:r w:rsidR="004B1849" w:rsidRPr="00E95CEE">
        <w:rPr>
          <w:rFonts w:ascii="Times New Roman" w:eastAsia="DejaVu Sans" w:hAnsi="Times New Roman" w:cs="Times New Roman"/>
          <w:color w:val="000000" w:themeColor="text1"/>
          <w:kern w:val="2"/>
          <w:sz w:val="24"/>
          <w:szCs w:val="24"/>
        </w:rPr>
        <w:t>)</w:t>
      </w:r>
    </w:p>
    <w:p w14:paraId="594EE322" w14:textId="77777777" w:rsidR="004B1849" w:rsidRPr="00E95CEE" w:rsidRDefault="004B1849" w:rsidP="00E95CEE">
      <w:pPr>
        <w:spacing w:after="120" w:line="240" w:lineRule="auto"/>
        <w:ind w:firstLine="1418"/>
        <w:jc w:val="both"/>
        <w:rPr>
          <w:rFonts w:ascii="Times New Roman" w:hAnsi="Times New Roman" w:cs="Times New Roman"/>
          <w:color w:val="000000" w:themeColor="text1"/>
          <w:sz w:val="24"/>
          <w:szCs w:val="24"/>
          <w:u w:val="single"/>
        </w:rPr>
      </w:pPr>
    </w:p>
    <w:p w14:paraId="2933CCA8" w14:textId="16A21FA9" w:rsidR="00D043F1" w:rsidRPr="00E95CEE" w:rsidRDefault="00D043F1" w:rsidP="00E95CEE">
      <w:pPr>
        <w:spacing w:after="120" w:line="240" w:lineRule="auto"/>
        <w:ind w:firstLine="1418"/>
        <w:jc w:val="both"/>
        <w:rPr>
          <w:rFonts w:ascii="Times New Roman" w:hAnsi="Times New Roman" w:cs="Times New Roman"/>
          <w:color w:val="000000" w:themeColor="text1"/>
          <w:sz w:val="24"/>
          <w:szCs w:val="24"/>
          <w:u w:val="single"/>
        </w:rPr>
      </w:pPr>
      <w:r w:rsidRPr="00E95CEE">
        <w:rPr>
          <w:rFonts w:ascii="Times New Roman" w:hAnsi="Times New Roman" w:cs="Times New Roman"/>
          <w:color w:val="000000" w:themeColor="text1"/>
          <w:sz w:val="24"/>
          <w:szCs w:val="24"/>
          <w:u w:val="single"/>
        </w:rPr>
        <w:t>V O T O S</w:t>
      </w:r>
    </w:p>
    <w:p w14:paraId="3B85F580" w14:textId="71B61E6E" w:rsidR="003C42B7" w:rsidRPr="00E95CEE" w:rsidRDefault="00D043F1" w:rsidP="00E95CEE">
      <w:pPr>
        <w:spacing w:after="120" w:line="240" w:lineRule="auto"/>
        <w:ind w:firstLine="1418"/>
        <w:jc w:val="both"/>
        <w:rPr>
          <w:rFonts w:ascii="Times New Roman" w:hAnsi="Times New Roman" w:cs="Times New Roman"/>
          <w:color w:val="000000" w:themeColor="text1"/>
          <w:sz w:val="24"/>
          <w:szCs w:val="24"/>
        </w:rPr>
      </w:pPr>
      <w:r w:rsidRPr="00E95CEE">
        <w:rPr>
          <w:rFonts w:ascii="Times New Roman" w:hAnsi="Times New Roman" w:cs="Times New Roman"/>
          <w:color w:val="000000" w:themeColor="text1"/>
          <w:sz w:val="24"/>
          <w:szCs w:val="24"/>
        </w:rPr>
        <w:t>De acordo com o relator</w:t>
      </w:r>
    </w:p>
    <w:p w14:paraId="72BA5952" w14:textId="24BDEC1C" w:rsidR="004B1849" w:rsidRPr="00E95CEE" w:rsidRDefault="004B1849" w:rsidP="00E95CEE">
      <w:pPr>
        <w:spacing w:after="120" w:line="240" w:lineRule="auto"/>
        <w:ind w:firstLine="1418"/>
        <w:jc w:val="both"/>
        <w:rPr>
          <w:rFonts w:ascii="Times New Roman" w:hAnsi="Times New Roman" w:cs="Times New Roman"/>
          <w:color w:val="000000" w:themeColor="text1"/>
          <w:sz w:val="24"/>
          <w:szCs w:val="24"/>
        </w:rPr>
      </w:pPr>
    </w:p>
    <w:p w14:paraId="2517AB8A" w14:textId="77777777" w:rsidR="004B1849" w:rsidRPr="00E95CEE" w:rsidRDefault="004B1849" w:rsidP="00E95CEE">
      <w:pPr>
        <w:spacing w:after="120" w:line="240" w:lineRule="auto"/>
        <w:ind w:firstLine="1418"/>
        <w:jc w:val="both"/>
        <w:rPr>
          <w:rFonts w:ascii="Times New Roman" w:hAnsi="Times New Roman" w:cs="Times New Roman"/>
          <w:color w:val="000000" w:themeColor="text1"/>
          <w:sz w:val="24"/>
          <w:szCs w:val="24"/>
        </w:rPr>
      </w:pPr>
    </w:p>
    <w:p w14:paraId="013D83D4" w14:textId="72018643" w:rsidR="004B1849" w:rsidRPr="00E95CEE" w:rsidRDefault="004B1849" w:rsidP="00E95CEE">
      <w:pPr>
        <w:pStyle w:val="SemEspaamento"/>
        <w:spacing w:after="120"/>
        <w:ind w:firstLine="1418"/>
        <w:jc w:val="both"/>
        <w:rPr>
          <w:rFonts w:ascii="Times New Roman" w:hAnsi="Times New Roman" w:cs="Times New Roman"/>
          <w:sz w:val="24"/>
          <w:szCs w:val="24"/>
        </w:rPr>
      </w:pPr>
      <w:r w:rsidRPr="00E95CEE">
        <w:rPr>
          <w:rFonts w:ascii="Times New Roman" w:hAnsi="Times New Roman" w:cs="Times New Roman"/>
          <w:sz w:val="24"/>
          <w:szCs w:val="24"/>
        </w:rPr>
        <w:t>JOÃO EVANGELISTA PEREIRA DE SÁ</w:t>
      </w:r>
    </w:p>
    <w:p w14:paraId="3F88B2B3" w14:textId="1138C7BF" w:rsidR="004B1849" w:rsidRPr="00E95CEE" w:rsidRDefault="004B1849" w:rsidP="00E95CEE">
      <w:pPr>
        <w:pStyle w:val="SemEspaamento"/>
        <w:spacing w:after="120"/>
        <w:ind w:firstLine="1418"/>
        <w:jc w:val="both"/>
        <w:rPr>
          <w:rFonts w:ascii="Times New Roman" w:hAnsi="Times New Roman" w:cs="Times New Roman"/>
          <w:sz w:val="24"/>
          <w:szCs w:val="24"/>
        </w:rPr>
      </w:pPr>
      <w:r w:rsidRPr="00E95CEE">
        <w:rPr>
          <w:rFonts w:ascii="Times New Roman" w:hAnsi="Times New Roman" w:cs="Times New Roman"/>
          <w:sz w:val="24"/>
          <w:szCs w:val="24"/>
        </w:rPr>
        <w:t>Relator</w:t>
      </w:r>
    </w:p>
    <w:p w14:paraId="4A53A6C7" w14:textId="06320992" w:rsidR="001C1ACE" w:rsidRPr="00E95CEE" w:rsidRDefault="001C1ACE" w:rsidP="00E95CEE">
      <w:pPr>
        <w:pStyle w:val="SemEspaamento"/>
        <w:spacing w:after="120"/>
        <w:ind w:firstLine="1418"/>
        <w:jc w:val="both"/>
        <w:rPr>
          <w:rFonts w:ascii="Times New Roman" w:hAnsi="Times New Roman" w:cs="Times New Roman"/>
          <w:sz w:val="24"/>
          <w:szCs w:val="24"/>
        </w:rPr>
      </w:pPr>
    </w:p>
    <w:p w14:paraId="48A5E162" w14:textId="1EC4410C" w:rsidR="001C1ACE" w:rsidRPr="00E95CEE" w:rsidRDefault="001C1ACE" w:rsidP="00E95CEE">
      <w:pPr>
        <w:pStyle w:val="SemEspaamento"/>
        <w:spacing w:after="120"/>
        <w:ind w:firstLine="1418"/>
        <w:jc w:val="both"/>
        <w:rPr>
          <w:rFonts w:ascii="Times New Roman" w:hAnsi="Times New Roman" w:cs="Times New Roman"/>
          <w:sz w:val="24"/>
          <w:szCs w:val="24"/>
        </w:rPr>
      </w:pPr>
    </w:p>
    <w:p w14:paraId="6A003808" w14:textId="6562955C" w:rsidR="001C1ACE" w:rsidRPr="00E95CEE" w:rsidRDefault="001C1ACE" w:rsidP="00E95CEE">
      <w:pPr>
        <w:pStyle w:val="SemEspaamento"/>
        <w:spacing w:after="120"/>
        <w:ind w:firstLine="1418"/>
        <w:jc w:val="both"/>
        <w:rPr>
          <w:rFonts w:ascii="Times New Roman" w:hAnsi="Times New Roman" w:cs="Times New Roman"/>
          <w:sz w:val="24"/>
          <w:szCs w:val="24"/>
        </w:rPr>
      </w:pPr>
      <w:r w:rsidRPr="00E95CEE">
        <w:rPr>
          <w:rFonts w:ascii="Times New Roman" w:hAnsi="Times New Roman" w:cs="Times New Roman"/>
          <w:sz w:val="24"/>
          <w:szCs w:val="24"/>
        </w:rPr>
        <w:t>MARLI APARECIDA BARBOSA</w:t>
      </w:r>
    </w:p>
    <w:p w14:paraId="1208DF17" w14:textId="6791EDF1" w:rsidR="001C1ACE" w:rsidRPr="00E95CEE" w:rsidRDefault="001C1ACE" w:rsidP="00E95CEE">
      <w:pPr>
        <w:pStyle w:val="SemEspaamento"/>
        <w:spacing w:after="120"/>
        <w:ind w:firstLine="1418"/>
        <w:jc w:val="both"/>
        <w:rPr>
          <w:rFonts w:ascii="Times New Roman" w:hAnsi="Times New Roman" w:cs="Times New Roman"/>
          <w:sz w:val="24"/>
          <w:szCs w:val="24"/>
        </w:rPr>
      </w:pPr>
      <w:r w:rsidRPr="00E95CEE">
        <w:rPr>
          <w:rFonts w:ascii="Times New Roman" w:hAnsi="Times New Roman" w:cs="Times New Roman"/>
          <w:sz w:val="24"/>
          <w:szCs w:val="24"/>
        </w:rPr>
        <w:t>Vogal</w:t>
      </w:r>
      <w:bookmarkStart w:id="0" w:name="_GoBack"/>
      <w:bookmarkEnd w:id="0"/>
    </w:p>
    <w:sectPr w:rsidR="001C1ACE" w:rsidRPr="00E95CEE" w:rsidSect="00337061">
      <w:headerReference w:type="default" r:id="rId6"/>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E3DB8" w14:textId="77777777" w:rsidR="000E7756" w:rsidRDefault="000E7756" w:rsidP="00963EEE">
      <w:pPr>
        <w:spacing w:after="0" w:line="240" w:lineRule="auto"/>
      </w:pPr>
      <w:r>
        <w:separator/>
      </w:r>
    </w:p>
  </w:endnote>
  <w:endnote w:type="continuationSeparator" w:id="0">
    <w:p w14:paraId="7ACCCED9" w14:textId="77777777" w:rsidR="000E7756" w:rsidRDefault="000E7756"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540B1" w14:textId="77777777" w:rsidR="000E7756" w:rsidRDefault="000E7756" w:rsidP="00963EEE">
      <w:pPr>
        <w:spacing w:after="0" w:line="240" w:lineRule="auto"/>
      </w:pPr>
      <w:r>
        <w:separator/>
      </w:r>
    </w:p>
  </w:footnote>
  <w:footnote w:type="continuationSeparator" w:id="0">
    <w:p w14:paraId="64BCC7D2" w14:textId="77777777" w:rsidR="000E7756" w:rsidRDefault="000E7756"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1" name="Imagem 1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12" name="Imagem 1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E"/>
    <w:rsid w:val="00004142"/>
    <w:rsid w:val="00004757"/>
    <w:rsid w:val="00032CF1"/>
    <w:rsid w:val="00040214"/>
    <w:rsid w:val="00051BFE"/>
    <w:rsid w:val="00081A2E"/>
    <w:rsid w:val="00086C71"/>
    <w:rsid w:val="000A1426"/>
    <w:rsid w:val="000A32FD"/>
    <w:rsid w:val="000B6529"/>
    <w:rsid w:val="000C7090"/>
    <w:rsid w:val="000D0A67"/>
    <w:rsid w:val="000D4E88"/>
    <w:rsid w:val="000E7756"/>
    <w:rsid w:val="00101893"/>
    <w:rsid w:val="0010333B"/>
    <w:rsid w:val="0011074B"/>
    <w:rsid w:val="00113CEF"/>
    <w:rsid w:val="00125A90"/>
    <w:rsid w:val="00141EF5"/>
    <w:rsid w:val="00143D34"/>
    <w:rsid w:val="00150705"/>
    <w:rsid w:val="00153F4A"/>
    <w:rsid w:val="00167CAF"/>
    <w:rsid w:val="00167CCE"/>
    <w:rsid w:val="00174B45"/>
    <w:rsid w:val="00197F60"/>
    <w:rsid w:val="001A1F98"/>
    <w:rsid w:val="001B3837"/>
    <w:rsid w:val="001C1ACE"/>
    <w:rsid w:val="001C3800"/>
    <w:rsid w:val="001C5C0E"/>
    <w:rsid w:val="001D32FA"/>
    <w:rsid w:val="001D53F2"/>
    <w:rsid w:val="001F092D"/>
    <w:rsid w:val="001F0A94"/>
    <w:rsid w:val="001F0BF4"/>
    <w:rsid w:val="001F40AD"/>
    <w:rsid w:val="00203B88"/>
    <w:rsid w:val="002363C7"/>
    <w:rsid w:val="00257966"/>
    <w:rsid w:val="00257BDE"/>
    <w:rsid w:val="00274CAD"/>
    <w:rsid w:val="00275F24"/>
    <w:rsid w:val="002A205B"/>
    <w:rsid w:val="002A2FB0"/>
    <w:rsid w:val="002A609F"/>
    <w:rsid w:val="002B5AD7"/>
    <w:rsid w:val="002C6521"/>
    <w:rsid w:val="002F169B"/>
    <w:rsid w:val="00306C5F"/>
    <w:rsid w:val="00311603"/>
    <w:rsid w:val="00322E9C"/>
    <w:rsid w:val="00324BC6"/>
    <w:rsid w:val="00330D17"/>
    <w:rsid w:val="00337061"/>
    <w:rsid w:val="00337EC6"/>
    <w:rsid w:val="00366F81"/>
    <w:rsid w:val="003670CA"/>
    <w:rsid w:val="00385CF5"/>
    <w:rsid w:val="0039647A"/>
    <w:rsid w:val="003A048E"/>
    <w:rsid w:val="003A05A4"/>
    <w:rsid w:val="003A232D"/>
    <w:rsid w:val="003B04E4"/>
    <w:rsid w:val="003B2EBE"/>
    <w:rsid w:val="003B3AB7"/>
    <w:rsid w:val="003C42B7"/>
    <w:rsid w:val="003D5A75"/>
    <w:rsid w:val="003F21EA"/>
    <w:rsid w:val="003F38EC"/>
    <w:rsid w:val="003F742A"/>
    <w:rsid w:val="00405906"/>
    <w:rsid w:val="00426A71"/>
    <w:rsid w:val="00452F85"/>
    <w:rsid w:val="004557E6"/>
    <w:rsid w:val="00476BC3"/>
    <w:rsid w:val="0049117E"/>
    <w:rsid w:val="00491CE2"/>
    <w:rsid w:val="00492D77"/>
    <w:rsid w:val="004B1849"/>
    <w:rsid w:val="004C2CD8"/>
    <w:rsid w:val="004C5DE7"/>
    <w:rsid w:val="00503C94"/>
    <w:rsid w:val="00510C94"/>
    <w:rsid w:val="00521688"/>
    <w:rsid w:val="00543298"/>
    <w:rsid w:val="00567006"/>
    <w:rsid w:val="00576CBE"/>
    <w:rsid w:val="00576CDB"/>
    <w:rsid w:val="00596C04"/>
    <w:rsid w:val="005B4ACC"/>
    <w:rsid w:val="005C60D3"/>
    <w:rsid w:val="005E5FCE"/>
    <w:rsid w:val="00600369"/>
    <w:rsid w:val="0061686C"/>
    <w:rsid w:val="006305F7"/>
    <w:rsid w:val="00637F6F"/>
    <w:rsid w:val="006446A1"/>
    <w:rsid w:val="00646763"/>
    <w:rsid w:val="00660D6E"/>
    <w:rsid w:val="006638AA"/>
    <w:rsid w:val="00676161"/>
    <w:rsid w:val="00677BD3"/>
    <w:rsid w:val="00680066"/>
    <w:rsid w:val="00683F5B"/>
    <w:rsid w:val="00685A6F"/>
    <w:rsid w:val="00690F7F"/>
    <w:rsid w:val="006A1725"/>
    <w:rsid w:val="006A1B1F"/>
    <w:rsid w:val="006A65E7"/>
    <w:rsid w:val="006A7259"/>
    <w:rsid w:val="006C6FCA"/>
    <w:rsid w:val="006E7E22"/>
    <w:rsid w:val="006F1C51"/>
    <w:rsid w:val="006F2017"/>
    <w:rsid w:val="006F6575"/>
    <w:rsid w:val="00715D97"/>
    <w:rsid w:val="0076454F"/>
    <w:rsid w:val="007649E8"/>
    <w:rsid w:val="00765E49"/>
    <w:rsid w:val="00771348"/>
    <w:rsid w:val="007750F2"/>
    <w:rsid w:val="00795510"/>
    <w:rsid w:val="00796691"/>
    <w:rsid w:val="007A00BD"/>
    <w:rsid w:val="007A090D"/>
    <w:rsid w:val="007A4A26"/>
    <w:rsid w:val="007B022E"/>
    <w:rsid w:val="007C2587"/>
    <w:rsid w:val="007C746C"/>
    <w:rsid w:val="007F1A24"/>
    <w:rsid w:val="007F237A"/>
    <w:rsid w:val="008129C4"/>
    <w:rsid w:val="00836F38"/>
    <w:rsid w:val="008541C6"/>
    <w:rsid w:val="00867DF1"/>
    <w:rsid w:val="00871511"/>
    <w:rsid w:val="00876C8B"/>
    <w:rsid w:val="008801C1"/>
    <w:rsid w:val="00881C63"/>
    <w:rsid w:val="0089613A"/>
    <w:rsid w:val="008E4B91"/>
    <w:rsid w:val="008F1DBB"/>
    <w:rsid w:val="00900F9F"/>
    <w:rsid w:val="00926A59"/>
    <w:rsid w:val="00927942"/>
    <w:rsid w:val="00933BCD"/>
    <w:rsid w:val="00937E27"/>
    <w:rsid w:val="00963070"/>
    <w:rsid w:val="00963EEE"/>
    <w:rsid w:val="0097039B"/>
    <w:rsid w:val="0098260C"/>
    <w:rsid w:val="00984BBA"/>
    <w:rsid w:val="00992F5E"/>
    <w:rsid w:val="009B5398"/>
    <w:rsid w:val="009B5AF2"/>
    <w:rsid w:val="009D36A1"/>
    <w:rsid w:val="009E7EA8"/>
    <w:rsid w:val="00A14623"/>
    <w:rsid w:val="00A21E7B"/>
    <w:rsid w:val="00A2586A"/>
    <w:rsid w:val="00A41C2B"/>
    <w:rsid w:val="00A442E7"/>
    <w:rsid w:val="00A64F68"/>
    <w:rsid w:val="00A6513D"/>
    <w:rsid w:val="00A82C67"/>
    <w:rsid w:val="00AA380F"/>
    <w:rsid w:val="00AB2400"/>
    <w:rsid w:val="00AC5607"/>
    <w:rsid w:val="00AF72DA"/>
    <w:rsid w:val="00B05D83"/>
    <w:rsid w:val="00B062C3"/>
    <w:rsid w:val="00B10825"/>
    <w:rsid w:val="00B1428C"/>
    <w:rsid w:val="00B22A24"/>
    <w:rsid w:val="00B272BC"/>
    <w:rsid w:val="00B3278E"/>
    <w:rsid w:val="00B4456F"/>
    <w:rsid w:val="00B449F5"/>
    <w:rsid w:val="00B4715A"/>
    <w:rsid w:val="00BA04C9"/>
    <w:rsid w:val="00BA306F"/>
    <w:rsid w:val="00BC2CFC"/>
    <w:rsid w:val="00BC42D6"/>
    <w:rsid w:val="00BD50A7"/>
    <w:rsid w:val="00BE252A"/>
    <w:rsid w:val="00BE526B"/>
    <w:rsid w:val="00BF655E"/>
    <w:rsid w:val="00C0158E"/>
    <w:rsid w:val="00C232F7"/>
    <w:rsid w:val="00C438FF"/>
    <w:rsid w:val="00C46049"/>
    <w:rsid w:val="00C523A0"/>
    <w:rsid w:val="00C55279"/>
    <w:rsid w:val="00C57220"/>
    <w:rsid w:val="00C7338D"/>
    <w:rsid w:val="00C811DE"/>
    <w:rsid w:val="00C85BFC"/>
    <w:rsid w:val="00C94993"/>
    <w:rsid w:val="00CB2190"/>
    <w:rsid w:val="00CB6805"/>
    <w:rsid w:val="00CC2179"/>
    <w:rsid w:val="00CE077E"/>
    <w:rsid w:val="00CE36EF"/>
    <w:rsid w:val="00CF5618"/>
    <w:rsid w:val="00D043F1"/>
    <w:rsid w:val="00D42545"/>
    <w:rsid w:val="00D60AC1"/>
    <w:rsid w:val="00D72D0E"/>
    <w:rsid w:val="00DC1F17"/>
    <w:rsid w:val="00DC5935"/>
    <w:rsid w:val="00DD1F6B"/>
    <w:rsid w:val="00DE1F0B"/>
    <w:rsid w:val="00E00620"/>
    <w:rsid w:val="00E117BA"/>
    <w:rsid w:val="00E11905"/>
    <w:rsid w:val="00E22572"/>
    <w:rsid w:val="00E36FB5"/>
    <w:rsid w:val="00E377D1"/>
    <w:rsid w:val="00E53AEA"/>
    <w:rsid w:val="00E618DA"/>
    <w:rsid w:val="00E86712"/>
    <w:rsid w:val="00E915B5"/>
    <w:rsid w:val="00E9198C"/>
    <w:rsid w:val="00E94AF0"/>
    <w:rsid w:val="00E95CEE"/>
    <w:rsid w:val="00EA3E1D"/>
    <w:rsid w:val="00EA54D9"/>
    <w:rsid w:val="00EB30D0"/>
    <w:rsid w:val="00EB643B"/>
    <w:rsid w:val="00EC1C99"/>
    <w:rsid w:val="00EC634B"/>
    <w:rsid w:val="00ED7B34"/>
    <w:rsid w:val="00EE61DB"/>
    <w:rsid w:val="00F159CD"/>
    <w:rsid w:val="00F22EE6"/>
    <w:rsid w:val="00F310C7"/>
    <w:rsid w:val="00F31801"/>
    <w:rsid w:val="00F3439F"/>
    <w:rsid w:val="00F36A64"/>
    <w:rsid w:val="00F37448"/>
    <w:rsid w:val="00F51BB7"/>
    <w:rsid w:val="00F55A5A"/>
    <w:rsid w:val="00F66591"/>
    <w:rsid w:val="00F775FF"/>
    <w:rsid w:val="00F7786E"/>
    <w:rsid w:val="00F8009E"/>
    <w:rsid w:val="00F933BA"/>
    <w:rsid w:val="00FA0A3D"/>
    <w:rsid w:val="00FB12AB"/>
    <w:rsid w:val="00FC6C1E"/>
    <w:rsid w:val="00FC6D7A"/>
    <w:rsid w:val="00FD7FA6"/>
    <w:rsid w:val="00FE3C52"/>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2BDA5"/>
  <w15:docId w15:val="{7424D0DD-65C8-457E-95F6-38718B6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64817741">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953</Words>
  <Characters>5147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Caio.03</cp:lastModifiedBy>
  <cp:revision>4</cp:revision>
  <cp:lastPrinted>2021-09-01T17:26:00Z</cp:lastPrinted>
  <dcterms:created xsi:type="dcterms:W3CDTF">2021-08-26T16:46:00Z</dcterms:created>
  <dcterms:modified xsi:type="dcterms:W3CDTF">2021-09-01T17:26:00Z</dcterms:modified>
</cp:coreProperties>
</file>