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4E6" w:rsidRDefault="004A74E6" w:rsidP="004A74E6">
      <w:pPr>
        <w:ind w:firstLine="20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Sete Lagoas, 27 de maio de 2021.</w:t>
      </w:r>
    </w:p>
    <w:p w:rsidR="004A74E6" w:rsidRDefault="004A74E6" w:rsidP="004A74E6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PARECER: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PGL.FR.s</w:t>
      </w:r>
      <w:proofErr w:type="spellEnd"/>
      <w:r>
        <w:rPr>
          <w:rFonts w:ascii="Verdana" w:hAnsi="Verdana"/>
        </w:rPr>
        <w:t>/nº-2021.</w:t>
      </w:r>
    </w:p>
    <w:p w:rsidR="004A74E6" w:rsidRDefault="004A74E6" w:rsidP="004A74E6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Matéria</w:t>
      </w:r>
      <w:r>
        <w:rPr>
          <w:rFonts w:ascii="Verdana" w:hAnsi="Verdana"/>
        </w:rPr>
        <w:t>: Anteprojeto de Lei nº 286</w:t>
      </w:r>
      <w:r>
        <w:rPr>
          <w:rFonts w:ascii="Verdana" w:hAnsi="Verdana"/>
        </w:rPr>
        <w:t>/2021 que ”</w:t>
      </w:r>
      <w:r>
        <w:rPr>
          <w:rFonts w:ascii="Verdana" w:hAnsi="Verdana"/>
        </w:rPr>
        <w:t>Dispõe sobre a concessão de auxílio financeiro emergencial aos prestadores de serviço do transporte escolar, motoristas, auxiliares e monitores, enquanto perdurar a suspensão das aulas presenciais nas escolas públicas municipais de Sete Lagoas”</w:t>
      </w:r>
    </w:p>
    <w:p w:rsidR="004A74E6" w:rsidRDefault="004A74E6" w:rsidP="004A74E6">
      <w:pPr>
        <w:pBdr>
          <w:bottom w:val="single" w:sz="12" w:space="1" w:color="auto"/>
        </w:pBdr>
        <w:jc w:val="both"/>
        <w:rPr>
          <w:rFonts w:ascii="Verdana" w:hAnsi="Verdana"/>
        </w:rPr>
      </w:pPr>
      <w:r>
        <w:rPr>
          <w:rFonts w:ascii="Verdana" w:hAnsi="Verdana"/>
          <w:b/>
        </w:rPr>
        <w:t>Autoria:</w:t>
      </w:r>
      <w:r>
        <w:rPr>
          <w:rFonts w:ascii="Verdana" w:hAnsi="Verdana"/>
        </w:rPr>
        <w:t xml:space="preserve"> Vereador Gilmar de Sousa Batista Junior.</w:t>
      </w:r>
    </w:p>
    <w:p w:rsidR="004A74E6" w:rsidRDefault="004A74E6" w:rsidP="004A74E6">
      <w:pPr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t>Encontra-se nesta Procuradoria para análise e parecer a proposição epigrafada, de autoria de membro desta Casa Legislativa, devidamente acompanhada de justificativa a respeito.</w:t>
      </w:r>
    </w:p>
    <w:p w:rsidR="004A74E6" w:rsidRDefault="004A74E6" w:rsidP="004A74E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Por meio da mencionada proposição</w:t>
      </w:r>
      <w:r>
        <w:rPr>
          <w:rFonts w:ascii="Verdana" w:hAnsi="Verdana"/>
        </w:rPr>
        <w:t>, visa o signatário</w:t>
      </w:r>
      <w:r>
        <w:rPr>
          <w:rFonts w:ascii="Verdana" w:hAnsi="Verdana"/>
        </w:rPr>
        <w:t xml:space="preserve"> da mesma criar um programa municipal </w:t>
      </w:r>
      <w:r>
        <w:rPr>
          <w:rFonts w:ascii="Verdana" w:hAnsi="Verdana"/>
        </w:rPr>
        <w:t>de auxílio financeiro emergencial aos prestadores de serviço do transporte escolar, motoristas, auxiliares e monitores, durante o período de paralização das aulas presenciais nas escolas públicas municipais</w:t>
      </w:r>
      <w:r w:rsidR="003D7DF3">
        <w:rPr>
          <w:rFonts w:ascii="Verdana" w:hAnsi="Verdana"/>
        </w:rPr>
        <w:t>,</w:t>
      </w:r>
      <w:bookmarkStart w:id="0" w:name="_GoBack"/>
      <w:bookmarkEnd w:id="0"/>
      <w:r>
        <w:rPr>
          <w:rFonts w:ascii="Verdana" w:hAnsi="Verdana"/>
        </w:rPr>
        <w:t xml:space="preserve"> em virtude da pandemia do COVID-19.</w:t>
      </w:r>
    </w:p>
    <w:p w:rsidR="004A74E6" w:rsidRPr="00F23A16" w:rsidRDefault="004A74E6" w:rsidP="004A74E6">
      <w:pPr>
        <w:ind w:firstLine="2268"/>
        <w:jc w:val="both"/>
        <w:rPr>
          <w:rFonts w:eastAsia="Calibri" w:cstheme="minorHAnsi"/>
          <w:b/>
          <w:i/>
        </w:rPr>
      </w:pPr>
      <w:r>
        <w:rPr>
          <w:rFonts w:ascii="Verdana" w:hAnsi="Verdana"/>
        </w:rPr>
        <w:t>Justificando seu anteprojeto, o Vereador</w:t>
      </w:r>
      <w:r>
        <w:rPr>
          <w:rFonts w:ascii="Verdana" w:hAnsi="Verdana"/>
        </w:rPr>
        <w:t xml:space="preserve"> proponente menciona que:</w:t>
      </w:r>
    </w:p>
    <w:p w:rsidR="004A74E6" w:rsidRDefault="00F23A16" w:rsidP="00F23A16">
      <w:pPr>
        <w:spacing w:line="360" w:lineRule="auto"/>
        <w:ind w:firstLine="2268"/>
        <w:jc w:val="both"/>
        <w:rPr>
          <w:rFonts w:ascii="Verdana" w:hAnsi="Verdana"/>
          <w:sz w:val="24"/>
          <w:szCs w:val="24"/>
        </w:rPr>
      </w:pPr>
      <w:r w:rsidRPr="00F23A16">
        <w:rPr>
          <w:rFonts w:ascii="Times New Roman" w:hAnsi="Times New Roman" w:cs="Times New Roman"/>
          <w:bCs/>
          <w:i/>
          <w:sz w:val="24"/>
          <w:szCs w:val="24"/>
        </w:rPr>
        <w:t>“</w:t>
      </w:r>
      <w:r w:rsidRPr="00F23A16">
        <w:rPr>
          <w:rFonts w:ascii="Times New Roman" w:hAnsi="Times New Roman" w:cs="Times New Roman"/>
          <w:bCs/>
          <w:i/>
          <w:sz w:val="24"/>
          <w:szCs w:val="24"/>
        </w:rPr>
        <w:t xml:space="preserve">O atual estado de calamidade tem ensejado respostas drásticas por parte dos mais diversos países ante o grave cenário de isolamento social restrições ao consumo, aversão a riscos, quebra de cadeias de suprimentos e interrupção dos processos de produção. Em meio a esse cenário, o governo já disponibilizou linhas de crédito e direcionou verbas para diversas categorias empresariais. Todavia, uma categoria profissional extremamente atingida pelos problemas decorrentes da pandemia foi a do prestador do serviço de transporte escolar, uma vez que as instituições de ensino estão entre as primeiras a serem fechadas e últimas a serem reabertas em virtude da quarentena. Muitos desses profissionais são responsáveis pelo sustento familiar e estão incapazes de receber quaisquer recursos derivados da sua atividade profissional em virtude das medidas implementadas pelo Poder Público. Sendo assim, é justo que socorramos esses cidadãos em momento tão </w:t>
      </w:r>
      <w:proofErr w:type="gramStart"/>
      <w:r w:rsidRPr="00F23A16">
        <w:rPr>
          <w:rFonts w:ascii="Times New Roman" w:hAnsi="Times New Roman" w:cs="Times New Roman"/>
          <w:bCs/>
          <w:i/>
          <w:sz w:val="24"/>
          <w:szCs w:val="24"/>
        </w:rPr>
        <w:t>delicado.</w:t>
      </w:r>
      <w:r w:rsidRPr="00F23A16">
        <w:rPr>
          <w:rFonts w:ascii="Times New Roman" w:hAnsi="Times New Roman" w:cs="Times New Roman"/>
          <w:bCs/>
          <w:i/>
          <w:sz w:val="24"/>
          <w:szCs w:val="24"/>
        </w:rPr>
        <w:t>”</w:t>
      </w:r>
      <w:proofErr w:type="gramEnd"/>
      <w:r w:rsidRPr="00F23A1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4A74E6" w:rsidRDefault="004A74E6" w:rsidP="004A74E6">
      <w:pPr>
        <w:spacing w:before="120" w:after="120" w:line="360" w:lineRule="auto"/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Como é sabido, o estabelecimento de ações governamentais deve ser realizado pelo Poder Executivo, pois a criação, implementação e execução de programas, criação de órgãos e serviços, constituem atividades puramente administrativas e típicas de gestão: logo, inerentes à chefia do Poder Executivo. Assim, cabe </w:t>
      </w:r>
      <w:r>
        <w:rPr>
          <w:rFonts w:ascii="Verdana" w:hAnsi="Verdana"/>
          <w:sz w:val="24"/>
          <w:szCs w:val="24"/>
        </w:rPr>
        <w:lastRenderedPageBreak/>
        <w:t xml:space="preserve">exclusivamente ao </w:t>
      </w:r>
      <w:proofErr w:type="spellStart"/>
      <w:r>
        <w:rPr>
          <w:rFonts w:ascii="Verdana" w:hAnsi="Verdana"/>
          <w:sz w:val="24"/>
          <w:szCs w:val="24"/>
        </w:rPr>
        <w:t>sr.Prefeito</w:t>
      </w:r>
      <w:proofErr w:type="spellEnd"/>
      <w:r>
        <w:rPr>
          <w:rFonts w:ascii="Verdana" w:hAnsi="Verdana"/>
          <w:sz w:val="24"/>
          <w:szCs w:val="24"/>
        </w:rPr>
        <w:t xml:space="preserve"> Municipal, no desenvolvimento de seu programa de governo, eleger prioridades e decidir as metas a serem cumpridas.</w:t>
      </w:r>
    </w:p>
    <w:p w:rsidR="004A74E6" w:rsidRDefault="004A74E6" w:rsidP="004A74E6">
      <w:pPr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Como gestor do Município, é reservada ao Chefe do Executivo a incumbência da condução das políticas públicas no âmbito da saúde, </w:t>
      </w:r>
      <w:r w:rsidR="00F23A16">
        <w:rPr>
          <w:rFonts w:ascii="Verdana" w:hAnsi="Verdana"/>
          <w:sz w:val="24"/>
          <w:szCs w:val="24"/>
        </w:rPr>
        <w:t xml:space="preserve">assistência social, </w:t>
      </w:r>
      <w:r>
        <w:rPr>
          <w:rFonts w:ascii="Verdana" w:hAnsi="Verdana"/>
          <w:sz w:val="24"/>
          <w:szCs w:val="24"/>
        </w:rPr>
        <w:t>meio ambiente, segurança dos munícipes, acessibilidade, promoção do bem-estar geral, dentre outros e, como atos de mera gestão da coisa pública sujeitam-se única e exclusivamente ao julgamento administrativo da conveniência e oportunidade do Poder Executivo, cuja prática não se submete à oitiva, autorização ou controle prévio do Legislativo.</w:t>
      </w:r>
    </w:p>
    <w:p w:rsidR="004A74E6" w:rsidRDefault="004A74E6" w:rsidP="004A74E6">
      <w:pPr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matéria se insere no rol do que se convencionou chamar de “Reserva da Administração”. Sobre o princípio constitucional da reserva de administração é pertinente a citação de trecho do seguinte acórdão proferido pelo Supremo Tribunal Federal:</w:t>
      </w:r>
    </w:p>
    <w:p w:rsidR="004A74E6" w:rsidRDefault="004A74E6" w:rsidP="004A74E6">
      <w:pPr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 xml:space="preserve">O Princípio constitucional da reserva de administração impede a ingerência normativa do Poder Legislativo em matérias sujeitas à exclusiva competência administrativa do Poder Executivo (...). Essa prática legislativa, quando efetivada, subverte a função primária da lei, </w:t>
      </w:r>
      <w:proofErr w:type="spellStart"/>
      <w:r>
        <w:rPr>
          <w:rFonts w:ascii="Verdana" w:hAnsi="Verdana"/>
          <w:i/>
          <w:sz w:val="24"/>
          <w:szCs w:val="24"/>
        </w:rPr>
        <w:t>transgride</w:t>
      </w:r>
      <w:proofErr w:type="spellEnd"/>
      <w:r>
        <w:rPr>
          <w:rFonts w:ascii="Verdana" w:hAnsi="Verdana"/>
          <w:i/>
          <w:sz w:val="24"/>
          <w:szCs w:val="24"/>
        </w:rPr>
        <w:t xml:space="preserve"> o princípio da divisão funcional do poder, representa comportamento heterodoxo da instituição parlamentar e importa em atuação </w:t>
      </w:r>
      <w:proofErr w:type="spellStart"/>
      <w:r>
        <w:rPr>
          <w:rFonts w:ascii="Verdana" w:hAnsi="Verdana"/>
          <w:i/>
          <w:sz w:val="24"/>
          <w:szCs w:val="24"/>
        </w:rPr>
        <w:t>ultravires</w:t>
      </w:r>
      <w:proofErr w:type="spellEnd"/>
      <w:r>
        <w:rPr>
          <w:rFonts w:ascii="Verdana" w:hAnsi="Verdana"/>
          <w:i/>
          <w:sz w:val="24"/>
          <w:szCs w:val="24"/>
        </w:rPr>
        <w:t xml:space="preserve"> do Poder Legislativo, que não pode, em sua atuação político-jurídica, exorbitar dos limites que definem o exercício de suas prerrogativas institucionais. (STF-Tribunal Pleno. ADI-MC nº 2.364. DJ de 14/12/2001, p. 23. Rel. Min. CELSO DE MELLO).</w:t>
      </w:r>
    </w:p>
    <w:p w:rsidR="004A74E6" w:rsidRDefault="004A74E6" w:rsidP="004A74E6">
      <w:pPr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 caso do Prefeito, são de sua iniciativa privativa aquelas matérias previstas no artigo 61, § 1º, II e 84, VI, “a” da Constituição que tratam da iniciativa privativa do Presidente da República e que se aplicam ao Município por força do princípio da simetria das formas estatuído no artigo 29, também da Carta Federal; e no art. 76, VI da Lei Orgânica do Município de Sete Lagoas.</w:t>
      </w:r>
    </w:p>
    <w:p w:rsidR="004A74E6" w:rsidRDefault="004A74E6" w:rsidP="004A74E6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 xml:space="preserve">Portanto, por versar sobre matéria cuja iniciativa é reservada ao Chefe do Poder Executivo Municipal, a presente proposição é apresentada de forma correta, tramitando como anteprojeto de lei (art. 203, </w:t>
      </w:r>
      <w:r>
        <w:rPr>
          <w:rFonts w:ascii="Verdana" w:eastAsia="DejaVu Sans" w:hAnsi="Verdana" w:cs="DejaVu Sans"/>
          <w:i/>
          <w:kern w:val="2"/>
          <w:sz w:val="24"/>
          <w:szCs w:val="24"/>
        </w:rPr>
        <w:t>caput</w:t>
      </w:r>
      <w:r>
        <w:rPr>
          <w:rFonts w:ascii="Verdana" w:eastAsia="DejaVu Sans" w:hAnsi="Verdana" w:cs="DejaVu Sans"/>
          <w:kern w:val="2"/>
          <w:sz w:val="24"/>
          <w:szCs w:val="24"/>
        </w:rPr>
        <w:t xml:space="preserve"> do RI) e como tal, constitui-se numa sugestão que é dada ao </w:t>
      </w:r>
      <w:proofErr w:type="spellStart"/>
      <w:r>
        <w:rPr>
          <w:rFonts w:ascii="Verdana" w:eastAsia="DejaVu Sans" w:hAnsi="Verdana" w:cs="DejaVu Sans"/>
          <w:kern w:val="2"/>
          <w:sz w:val="24"/>
          <w:szCs w:val="24"/>
        </w:rPr>
        <w:t>sr.Prefeito</w:t>
      </w:r>
      <w:proofErr w:type="spellEnd"/>
      <w:r>
        <w:rPr>
          <w:rFonts w:ascii="Verdana" w:eastAsia="DejaVu Sans" w:hAnsi="Verdana" w:cs="DejaVu Sans"/>
          <w:kern w:val="2"/>
          <w:sz w:val="24"/>
          <w:szCs w:val="24"/>
        </w:rPr>
        <w:t xml:space="preserve"> que, após ouvir os setores competentes, uma vez entendendo ser de interesse público, adote as providências cabíveis a fim de concretizar a proposta.</w:t>
      </w:r>
    </w:p>
    <w:p w:rsidR="004A74E6" w:rsidRDefault="004A74E6" w:rsidP="004A74E6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lastRenderedPageBreak/>
        <w:t>Por tudo que precede, concluo objetivamente no sentido de</w:t>
      </w:r>
      <w:r w:rsidR="00F23A16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 xml:space="preserve"> que o Anteprojeto de Lei nº 286</w:t>
      </w: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/2021 reúne condições para apreciação do Plenário.</w:t>
      </w:r>
    </w:p>
    <w:p w:rsidR="004A74E6" w:rsidRDefault="004A74E6" w:rsidP="004A74E6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É o parecer,</w:t>
      </w:r>
    </w:p>
    <w:p w:rsidR="004A74E6" w:rsidRDefault="004A74E6" w:rsidP="004A74E6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s.m.j.</w:t>
      </w:r>
    </w:p>
    <w:p w:rsidR="004A74E6" w:rsidRDefault="004A74E6" w:rsidP="004A74E6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</w:p>
    <w:p w:rsidR="004A74E6" w:rsidRDefault="004A74E6" w:rsidP="004A74E6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Fernando Geraldo Faria Roque</w:t>
      </w:r>
    </w:p>
    <w:p w:rsidR="004A74E6" w:rsidRDefault="004A74E6" w:rsidP="004A74E6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Procurador do Legislativo I</w:t>
      </w:r>
    </w:p>
    <w:p w:rsidR="004A74E6" w:rsidRDefault="004A74E6" w:rsidP="004A74E6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</w:p>
    <w:p w:rsidR="004A74E6" w:rsidRDefault="004A74E6" w:rsidP="004A74E6">
      <w:pPr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À Consideração Superior.</w:t>
      </w:r>
    </w:p>
    <w:p w:rsidR="004A74E6" w:rsidRDefault="004A74E6" w:rsidP="004A74E6">
      <w:pPr>
        <w:pStyle w:val="Estilopadro"/>
        <w:ind w:firstLine="20"/>
        <w:jc w:val="center"/>
        <w:rPr>
          <w:rFonts w:ascii="Verdana" w:hAnsi="Verdana"/>
          <w:sz w:val="22"/>
        </w:rPr>
      </w:pPr>
    </w:p>
    <w:p w:rsidR="002E3724" w:rsidRDefault="002E3724" w:rsidP="006F65B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</w:t>
      </w:r>
    </w:p>
    <w:sectPr w:rsidR="002E372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39C" w:rsidRDefault="00A8139C" w:rsidP="00963EEE">
      <w:pPr>
        <w:spacing w:after="0" w:line="240" w:lineRule="auto"/>
      </w:pPr>
      <w:r>
        <w:separator/>
      </w:r>
    </w:p>
  </w:endnote>
  <w:endnote w:type="continuationSeparator" w:id="0">
    <w:p w:rsidR="00A8139C" w:rsidRDefault="00A8139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39C" w:rsidRDefault="00A8139C" w:rsidP="00963EEE">
      <w:pPr>
        <w:spacing w:after="0" w:line="240" w:lineRule="auto"/>
      </w:pPr>
      <w:r>
        <w:separator/>
      </w:r>
    </w:p>
  </w:footnote>
  <w:footnote w:type="continuationSeparator" w:id="0">
    <w:p w:rsidR="00A8139C" w:rsidRDefault="00A8139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C722C"/>
    <w:rsid w:val="000D469F"/>
    <w:rsid w:val="000D4E88"/>
    <w:rsid w:val="0010333B"/>
    <w:rsid w:val="00142231"/>
    <w:rsid w:val="00150705"/>
    <w:rsid w:val="00153BD3"/>
    <w:rsid w:val="00167CCE"/>
    <w:rsid w:val="001C5C0E"/>
    <w:rsid w:val="001D32FA"/>
    <w:rsid w:val="001D53F2"/>
    <w:rsid w:val="00224883"/>
    <w:rsid w:val="00265BE3"/>
    <w:rsid w:val="002E3724"/>
    <w:rsid w:val="00306C5F"/>
    <w:rsid w:val="00350977"/>
    <w:rsid w:val="00375D2B"/>
    <w:rsid w:val="00387CDC"/>
    <w:rsid w:val="00395391"/>
    <w:rsid w:val="003A232D"/>
    <w:rsid w:val="003B2EBE"/>
    <w:rsid w:val="003D7DF3"/>
    <w:rsid w:val="003F21EA"/>
    <w:rsid w:val="003F7639"/>
    <w:rsid w:val="00405906"/>
    <w:rsid w:val="00440E49"/>
    <w:rsid w:val="00452F85"/>
    <w:rsid w:val="0047170F"/>
    <w:rsid w:val="00477C68"/>
    <w:rsid w:val="004976CA"/>
    <w:rsid w:val="004A74E6"/>
    <w:rsid w:val="004F78C2"/>
    <w:rsid w:val="00503C94"/>
    <w:rsid w:val="0050526F"/>
    <w:rsid w:val="00543298"/>
    <w:rsid w:val="005437C7"/>
    <w:rsid w:val="00567006"/>
    <w:rsid w:val="00576537"/>
    <w:rsid w:val="00576CBE"/>
    <w:rsid w:val="00576CDB"/>
    <w:rsid w:val="00596C04"/>
    <w:rsid w:val="005C60D3"/>
    <w:rsid w:val="0061686C"/>
    <w:rsid w:val="00631917"/>
    <w:rsid w:val="00637F6F"/>
    <w:rsid w:val="006446A1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F65B8"/>
    <w:rsid w:val="00750786"/>
    <w:rsid w:val="007542A9"/>
    <w:rsid w:val="0076454F"/>
    <w:rsid w:val="007A00BD"/>
    <w:rsid w:val="007A4A26"/>
    <w:rsid w:val="007B06F7"/>
    <w:rsid w:val="007B2F2D"/>
    <w:rsid w:val="007C2587"/>
    <w:rsid w:val="007F2D1C"/>
    <w:rsid w:val="008401DB"/>
    <w:rsid w:val="00847210"/>
    <w:rsid w:val="008541C6"/>
    <w:rsid w:val="00876C8B"/>
    <w:rsid w:val="00895F6C"/>
    <w:rsid w:val="0089613A"/>
    <w:rsid w:val="008C32D5"/>
    <w:rsid w:val="008D3ACE"/>
    <w:rsid w:val="008E4B91"/>
    <w:rsid w:val="008F1DBB"/>
    <w:rsid w:val="008F324E"/>
    <w:rsid w:val="00900F9F"/>
    <w:rsid w:val="00902358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43BF9"/>
    <w:rsid w:val="00A52E56"/>
    <w:rsid w:val="00A60DCE"/>
    <w:rsid w:val="00A64F68"/>
    <w:rsid w:val="00A8139C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E526B"/>
    <w:rsid w:val="00BE5A6C"/>
    <w:rsid w:val="00BF0A44"/>
    <w:rsid w:val="00BF655E"/>
    <w:rsid w:val="00C0158E"/>
    <w:rsid w:val="00C03B07"/>
    <w:rsid w:val="00C438FF"/>
    <w:rsid w:val="00C64CDC"/>
    <w:rsid w:val="00C77AD4"/>
    <w:rsid w:val="00C94993"/>
    <w:rsid w:val="00CB6805"/>
    <w:rsid w:val="00CE36EF"/>
    <w:rsid w:val="00CF08F1"/>
    <w:rsid w:val="00CF5711"/>
    <w:rsid w:val="00D02651"/>
    <w:rsid w:val="00D07271"/>
    <w:rsid w:val="00D36AA1"/>
    <w:rsid w:val="00D717FA"/>
    <w:rsid w:val="00D83F6E"/>
    <w:rsid w:val="00DC1F17"/>
    <w:rsid w:val="00DD1F6B"/>
    <w:rsid w:val="00DE1F0B"/>
    <w:rsid w:val="00DE6702"/>
    <w:rsid w:val="00E36FB5"/>
    <w:rsid w:val="00E86712"/>
    <w:rsid w:val="00E94AF0"/>
    <w:rsid w:val="00EA0EDC"/>
    <w:rsid w:val="00EA54D9"/>
    <w:rsid w:val="00EC634B"/>
    <w:rsid w:val="00ED1E21"/>
    <w:rsid w:val="00ED5B27"/>
    <w:rsid w:val="00F159CD"/>
    <w:rsid w:val="00F22EE6"/>
    <w:rsid w:val="00F23A16"/>
    <w:rsid w:val="00F310C7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2019-09-04T19:17:00Z</cp:lastPrinted>
  <dcterms:created xsi:type="dcterms:W3CDTF">2021-05-27T19:20:00Z</dcterms:created>
  <dcterms:modified xsi:type="dcterms:W3CDTF">2021-05-27T19:23:00Z</dcterms:modified>
</cp:coreProperties>
</file>