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CD282" w14:textId="77777777" w:rsidR="008719C5" w:rsidRPr="0041083D" w:rsidRDefault="008719C5" w:rsidP="008719C5">
      <w:pPr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41083D">
        <w:rPr>
          <w:rFonts w:ascii="Times New Roman" w:eastAsia="Times New Roman" w:hAnsi="Times New Roman"/>
          <w:b/>
          <w:bCs/>
          <w:lang w:eastAsia="ar-SA"/>
        </w:rPr>
        <w:t xml:space="preserve">PARECER REGIMENTAL </w:t>
      </w:r>
    </w:p>
    <w:p w14:paraId="4EEE3684" w14:textId="77777777" w:rsidR="008719C5" w:rsidRPr="0041083D" w:rsidRDefault="008719C5" w:rsidP="008719C5">
      <w:pPr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41083D">
        <w:rPr>
          <w:rFonts w:ascii="Times New Roman" w:eastAsia="Times New Roman" w:hAnsi="Times New Roman"/>
          <w:b/>
          <w:bCs/>
          <w:lang w:eastAsia="ar-SA"/>
        </w:rPr>
        <w:t>COMISSÃO ESPECIAL DE ANÁLISE DE VETO</w:t>
      </w:r>
    </w:p>
    <w:p w14:paraId="23AE5599" w14:textId="77777777" w:rsidR="008719C5" w:rsidRPr="0041083D" w:rsidRDefault="008719C5" w:rsidP="008719C5">
      <w:pPr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14:paraId="72169AC8" w14:textId="77777777" w:rsidR="008719C5" w:rsidRPr="0041083D" w:rsidRDefault="008719C5" w:rsidP="008719C5">
      <w:pPr>
        <w:jc w:val="center"/>
        <w:rPr>
          <w:rFonts w:ascii="Times New Roman" w:eastAsia="Times New Roman" w:hAnsi="Times New Roman"/>
          <w:b/>
          <w:lang w:eastAsia="ar-SA"/>
        </w:rPr>
      </w:pPr>
    </w:p>
    <w:p w14:paraId="683CE071" w14:textId="5258DBC6" w:rsidR="009E1967" w:rsidRPr="0041083D" w:rsidRDefault="008719C5" w:rsidP="009E1967">
      <w:pPr>
        <w:jc w:val="both"/>
        <w:rPr>
          <w:rFonts w:ascii="Times New Roman" w:eastAsia="Times New Roman" w:hAnsi="Times New Roman"/>
          <w:lang w:eastAsia="ar-SA"/>
        </w:rPr>
      </w:pPr>
      <w:r w:rsidRPr="0041083D">
        <w:rPr>
          <w:rFonts w:ascii="Times New Roman" w:eastAsia="Times New Roman" w:hAnsi="Times New Roman"/>
          <w:b/>
          <w:lang w:eastAsia="ar-SA"/>
        </w:rPr>
        <w:t xml:space="preserve">MATÉRIA: </w:t>
      </w:r>
      <w:r w:rsidR="009E1967" w:rsidRPr="0041083D">
        <w:rPr>
          <w:rFonts w:ascii="Times New Roman" w:eastAsia="Times New Roman" w:hAnsi="Times New Roman"/>
          <w:lang w:eastAsia="ar-SA"/>
        </w:rPr>
        <w:t xml:space="preserve">Mensagem nº </w:t>
      </w:r>
      <w:r w:rsidR="00F601ED" w:rsidRPr="0041083D">
        <w:rPr>
          <w:rFonts w:ascii="Times New Roman" w:eastAsia="Times New Roman" w:hAnsi="Times New Roman"/>
          <w:lang w:eastAsia="ar-SA"/>
        </w:rPr>
        <w:t>0</w:t>
      </w:r>
      <w:r w:rsidR="002B3040">
        <w:rPr>
          <w:rFonts w:ascii="Times New Roman" w:eastAsia="Times New Roman" w:hAnsi="Times New Roman"/>
          <w:lang w:eastAsia="ar-SA"/>
        </w:rPr>
        <w:t>1</w:t>
      </w:r>
      <w:r w:rsidR="009E1967" w:rsidRPr="0041083D">
        <w:rPr>
          <w:rFonts w:ascii="Times New Roman" w:eastAsia="Times New Roman" w:hAnsi="Times New Roman"/>
          <w:lang w:eastAsia="ar-SA"/>
        </w:rPr>
        <w:t>/20</w:t>
      </w:r>
      <w:r w:rsidR="002B3040">
        <w:rPr>
          <w:rFonts w:ascii="Times New Roman" w:eastAsia="Times New Roman" w:hAnsi="Times New Roman"/>
          <w:lang w:eastAsia="ar-SA"/>
        </w:rPr>
        <w:t>20</w:t>
      </w:r>
      <w:r w:rsidR="009E1967" w:rsidRPr="0041083D">
        <w:rPr>
          <w:rFonts w:ascii="Times New Roman" w:eastAsia="Times New Roman" w:hAnsi="Times New Roman"/>
          <w:b/>
          <w:lang w:eastAsia="ar-SA"/>
        </w:rPr>
        <w:t xml:space="preserve"> - </w:t>
      </w:r>
      <w:r w:rsidR="001D1CAF" w:rsidRPr="0041083D">
        <w:rPr>
          <w:rFonts w:ascii="Times New Roman" w:eastAsia="Times New Roman" w:hAnsi="Times New Roman"/>
          <w:lang w:eastAsia="ar-SA"/>
        </w:rPr>
        <w:t xml:space="preserve">Razões de Veto </w:t>
      </w:r>
      <w:r w:rsidR="005F3740" w:rsidRPr="0041083D">
        <w:rPr>
          <w:rFonts w:ascii="Times New Roman" w:eastAsia="Times New Roman" w:hAnsi="Times New Roman"/>
          <w:lang w:eastAsia="ar-SA"/>
        </w:rPr>
        <w:t xml:space="preserve">Parcial </w:t>
      </w:r>
      <w:r w:rsidR="009E1967" w:rsidRPr="0041083D">
        <w:rPr>
          <w:rFonts w:ascii="Times New Roman" w:eastAsia="Times New Roman" w:hAnsi="Times New Roman"/>
          <w:lang w:eastAsia="ar-SA"/>
        </w:rPr>
        <w:t xml:space="preserve">ao Projeto de Lei nº </w:t>
      </w:r>
      <w:r w:rsidR="002B3040">
        <w:rPr>
          <w:rFonts w:ascii="Times New Roman" w:eastAsia="Times New Roman" w:hAnsi="Times New Roman"/>
          <w:lang w:eastAsia="ar-SA"/>
        </w:rPr>
        <w:t>398/2019</w:t>
      </w:r>
      <w:r w:rsidR="009E1967" w:rsidRPr="0041083D">
        <w:rPr>
          <w:rFonts w:ascii="Times New Roman" w:eastAsia="Times New Roman" w:hAnsi="Times New Roman"/>
          <w:lang w:eastAsia="ar-SA"/>
        </w:rPr>
        <w:t>, que “</w:t>
      </w:r>
      <w:r w:rsidR="002B3040">
        <w:rPr>
          <w:rFonts w:ascii="Times New Roman" w:eastAsia="Times New Roman" w:hAnsi="Times New Roman"/>
          <w:lang w:eastAsia="ar-SA"/>
        </w:rPr>
        <w:t>Proíbe a participação de crianças e adolescentes em eventos de natureza comercial com bebidas alcoólicas liberadas, open bar, mesmo que estes estejam acompanhados de seus pais ou responsáveis</w:t>
      </w:r>
      <w:r w:rsidR="009E1967" w:rsidRPr="0041083D">
        <w:rPr>
          <w:rFonts w:ascii="Times New Roman" w:eastAsia="Times New Roman" w:hAnsi="Times New Roman"/>
          <w:lang w:eastAsia="ar-SA"/>
        </w:rPr>
        <w:t>”.</w:t>
      </w:r>
    </w:p>
    <w:p w14:paraId="4CF5E0CE" w14:textId="3822202D" w:rsidR="008719C5" w:rsidRPr="0041083D" w:rsidRDefault="008719C5" w:rsidP="008719C5">
      <w:pPr>
        <w:jc w:val="both"/>
        <w:rPr>
          <w:rFonts w:ascii="Times New Roman" w:eastAsia="Times New Roman" w:hAnsi="Times New Roman"/>
          <w:lang w:eastAsia="ar-SA"/>
        </w:rPr>
      </w:pPr>
      <w:r w:rsidRPr="0041083D">
        <w:rPr>
          <w:rFonts w:ascii="Times New Roman" w:eastAsia="Times New Roman" w:hAnsi="Times New Roman"/>
          <w:lang w:eastAsia="ar-SA"/>
        </w:rPr>
        <w:t>_______________________________________________________</w:t>
      </w:r>
      <w:r w:rsidR="0041083D">
        <w:rPr>
          <w:rFonts w:ascii="Times New Roman" w:eastAsia="Times New Roman" w:hAnsi="Times New Roman"/>
          <w:lang w:eastAsia="ar-SA"/>
        </w:rPr>
        <w:t>_______________</w:t>
      </w:r>
    </w:p>
    <w:p w14:paraId="0FBE25B8" w14:textId="77777777" w:rsidR="008719C5" w:rsidRPr="0041083D" w:rsidRDefault="008719C5" w:rsidP="008719C5">
      <w:pPr>
        <w:jc w:val="both"/>
        <w:rPr>
          <w:rFonts w:ascii="Times New Roman" w:eastAsia="Times New Roman" w:hAnsi="Times New Roman"/>
          <w:lang w:eastAsia="ar-SA"/>
        </w:rPr>
      </w:pPr>
    </w:p>
    <w:p w14:paraId="0CB9B706" w14:textId="177AD975" w:rsidR="008719C5" w:rsidRPr="0041083D" w:rsidRDefault="008719C5" w:rsidP="008719C5">
      <w:pPr>
        <w:ind w:firstLine="1560"/>
        <w:jc w:val="both"/>
        <w:rPr>
          <w:rFonts w:ascii="Times New Roman" w:eastAsia="Times New Roman" w:hAnsi="Times New Roman"/>
          <w:lang w:eastAsia="ar-SA"/>
        </w:rPr>
      </w:pPr>
      <w:r w:rsidRPr="0041083D">
        <w:rPr>
          <w:rFonts w:ascii="Times New Roman" w:eastAsia="Times New Roman" w:hAnsi="Times New Roman"/>
          <w:lang w:eastAsia="ar-SA"/>
        </w:rPr>
        <w:t>Reúne-se a Comissão Especial subscreven</w:t>
      </w:r>
      <w:r w:rsidR="00EC0520" w:rsidRPr="0041083D">
        <w:rPr>
          <w:rFonts w:ascii="Times New Roman" w:eastAsia="Times New Roman" w:hAnsi="Times New Roman"/>
          <w:lang w:eastAsia="ar-SA"/>
        </w:rPr>
        <w:t xml:space="preserve">te, nomeada pela Portaria nº </w:t>
      </w:r>
      <w:r w:rsidR="002B3040">
        <w:rPr>
          <w:rFonts w:ascii="Times New Roman" w:eastAsia="Times New Roman" w:hAnsi="Times New Roman"/>
          <w:lang w:eastAsia="ar-SA"/>
        </w:rPr>
        <w:t>001/2020</w:t>
      </w:r>
      <w:r w:rsidRPr="0041083D">
        <w:rPr>
          <w:rFonts w:ascii="Times New Roman" w:eastAsia="Times New Roman" w:hAnsi="Times New Roman"/>
          <w:lang w:eastAsia="ar-SA"/>
        </w:rPr>
        <w:t xml:space="preserve">, </w:t>
      </w:r>
      <w:r w:rsidR="00EC0520" w:rsidRPr="0041083D">
        <w:rPr>
          <w:rFonts w:ascii="Times New Roman" w:eastAsia="Times New Roman" w:hAnsi="Times New Roman"/>
          <w:lang w:eastAsia="ar-SA"/>
        </w:rPr>
        <w:t xml:space="preserve">composta pelos Vereadores </w:t>
      </w:r>
      <w:r w:rsidR="002B3040">
        <w:rPr>
          <w:rFonts w:ascii="Times New Roman" w:eastAsia="Times New Roman" w:hAnsi="Times New Roman"/>
          <w:lang w:eastAsia="ar-SA"/>
        </w:rPr>
        <w:t>Gislene Inocência da Silva Carvalho</w:t>
      </w:r>
      <w:r w:rsidR="00EC0520" w:rsidRPr="0041083D">
        <w:rPr>
          <w:rFonts w:ascii="Times New Roman" w:eastAsia="Times New Roman" w:hAnsi="Times New Roman"/>
          <w:lang w:eastAsia="ar-SA"/>
        </w:rPr>
        <w:t>,</w:t>
      </w:r>
      <w:r w:rsidR="002B3040">
        <w:rPr>
          <w:rFonts w:ascii="Times New Roman" w:eastAsia="Times New Roman" w:hAnsi="Times New Roman"/>
          <w:lang w:eastAsia="ar-SA"/>
        </w:rPr>
        <w:t xml:space="preserve"> Ismael Soares de Moura e Marcelo Pires Rodrigues</w:t>
      </w:r>
      <w:r w:rsidR="00EC0520" w:rsidRPr="0041083D">
        <w:rPr>
          <w:rFonts w:ascii="Times New Roman" w:eastAsia="Times New Roman" w:hAnsi="Times New Roman"/>
          <w:lang w:eastAsia="ar-SA"/>
        </w:rPr>
        <w:t xml:space="preserve"> para análise da Mensagem nº </w:t>
      </w:r>
      <w:r w:rsidR="002B3040">
        <w:rPr>
          <w:rFonts w:ascii="Times New Roman" w:eastAsia="Times New Roman" w:hAnsi="Times New Roman"/>
          <w:lang w:eastAsia="ar-SA"/>
        </w:rPr>
        <w:t>01/2020</w:t>
      </w:r>
      <w:r w:rsidR="00EC0520" w:rsidRPr="0041083D">
        <w:rPr>
          <w:rFonts w:ascii="Times New Roman" w:eastAsia="Times New Roman" w:hAnsi="Times New Roman"/>
          <w:lang w:eastAsia="ar-SA"/>
        </w:rPr>
        <w:t xml:space="preserve"> que contém a</w:t>
      </w:r>
      <w:r w:rsidRPr="0041083D">
        <w:rPr>
          <w:rFonts w:ascii="Times New Roman" w:eastAsia="Times New Roman" w:hAnsi="Times New Roman"/>
          <w:lang w:eastAsia="ar-SA"/>
        </w:rPr>
        <w:t xml:space="preserve">s Razões de Veto </w:t>
      </w:r>
      <w:r w:rsidR="00251A5D">
        <w:rPr>
          <w:rFonts w:ascii="Times New Roman" w:eastAsia="Times New Roman" w:hAnsi="Times New Roman"/>
          <w:lang w:eastAsia="ar-SA"/>
        </w:rPr>
        <w:t>To</w:t>
      </w:r>
      <w:r w:rsidR="002A05E4">
        <w:rPr>
          <w:rFonts w:ascii="Times New Roman" w:eastAsia="Times New Roman" w:hAnsi="Times New Roman"/>
          <w:lang w:eastAsia="ar-SA"/>
        </w:rPr>
        <w:t>t</w:t>
      </w:r>
      <w:r w:rsidR="00251A5D">
        <w:rPr>
          <w:rFonts w:ascii="Times New Roman" w:eastAsia="Times New Roman" w:hAnsi="Times New Roman"/>
          <w:lang w:eastAsia="ar-SA"/>
        </w:rPr>
        <w:t>al</w:t>
      </w:r>
      <w:r w:rsidRPr="0041083D">
        <w:rPr>
          <w:rFonts w:ascii="Times New Roman" w:eastAsia="Times New Roman" w:hAnsi="Times New Roman"/>
          <w:lang w:eastAsia="ar-SA"/>
        </w:rPr>
        <w:t xml:space="preserve"> oposto pelo Prefeito Mun</w:t>
      </w:r>
      <w:r w:rsidR="0051035A" w:rsidRPr="0041083D">
        <w:rPr>
          <w:rFonts w:ascii="Times New Roman" w:eastAsia="Times New Roman" w:hAnsi="Times New Roman"/>
          <w:lang w:eastAsia="ar-SA"/>
        </w:rPr>
        <w:t>icipal</w:t>
      </w:r>
      <w:r w:rsidR="00EC0520" w:rsidRPr="0041083D">
        <w:rPr>
          <w:rFonts w:ascii="Times New Roman" w:eastAsia="Times New Roman" w:hAnsi="Times New Roman"/>
          <w:lang w:eastAsia="ar-SA"/>
        </w:rPr>
        <w:t xml:space="preserve"> ao Projeto de Lei nº </w:t>
      </w:r>
      <w:r w:rsidR="002B3040">
        <w:rPr>
          <w:rFonts w:ascii="Times New Roman" w:eastAsia="Times New Roman" w:hAnsi="Times New Roman"/>
          <w:lang w:eastAsia="ar-SA"/>
        </w:rPr>
        <w:t>398</w:t>
      </w:r>
      <w:r w:rsidR="005507F6" w:rsidRPr="0041083D">
        <w:rPr>
          <w:rFonts w:ascii="Times New Roman" w:eastAsia="Times New Roman" w:hAnsi="Times New Roman"/>
          <w:lang w:eastAsia="ar-SA"/>
        </w:rPr>
        <w:t>/201</w:t>
      </w:r>
      <w:r w:rsidR="002B3040">
        <w:rPr>
          <w:rFonts w:ascii="Times New Roman" w:eastAsia="Times New Roman" w:hAnsi="Times New Roman"/>
          <w:lang w:eastAsia="ar-SA"/>
        </w:rPr>
        <w:t>9</w:t>
      </w:r>
      <w:r w:rsidR="005507F6" w:rsidRPr="0041083D">
        <w:rPr>
          <w:rFonts w:ascii="Times New Roman" w:eastAsia="Times New Roman" w:hAnsi="Times New Roman"/>
          <w:lang w:eastAsia="ar-SA"/>
        </w:rPr>
        <w:t xml:space="preserve">, que </w:t>
      </w:r>
      <w:r w:rsidR="00F601ED" w:rsidRPr="0041083D">
        <w:rPr>
          <w:rFonts w:ascii="Times New Roman" w:eastAsia="Times New Roman" w:hAnsi="Times New Roman"/>
          <w:lang w:eastAsia="ar-SA"/>
        </w:rPr>
        <w:t>“</w:t>
      </w:r>
      <w:r w:rsidR="002B3040">
        <w:rPr>
          <w:rFonts w:ascii="Times New Roman" w:eastAsia="Times New Roman" w:hAnsi="Times New Roman"/>
          <w:lang w:eastAsia="ar-SA"/>
        </w:rPr>
        <w:t>Proíbe a participação de crianças e adolescentes em eventos de natureza comercial com bebidas alcoólicas liberadas, open bar, mesmo que estes estejam acompanhados de seus pais ou responsáveis</w:t>
      </w:r>
      <w:r w:rsidR="00F601ED" w:rsidRPr="0041083D">
        <w:rPr>
          <w:rFonts w:ascii="Times New Roman" w:eastAsia="Times New Roman" w:hAnsi="Times New Roman"/>
          <w:lang w:eastAsia="ar-SA"/>
        </w:rPr>
        <w:t>”.</w:t>
      </w:r>
    </w:p>
    <w:p w14:paraId="4BAF16FA" w14:textId="77777777" w:rsidR="005507F6" w:rsidRPr="0041083D" w:rsidRDefault="005507F6" w:rsidP="008719C5">
      <w:pPr>
        <w:ind w:firstLine="1560"/>
        <w:jc w:val="both"/>
        <w:rPr>
          <w:rFonts w:ascii="Times New Roman" w:eastAsia="Times New Roman" w:hAnsi="Times New Roman"/>
          <w:lang w:eastAsia="ar-SA"/>
        </w:rPr>
      </w:pPr>
    </w:p>
    <w:p w14:paraId="17115EB2" w14:textId="5F2773F3" w:rsidR="008719C5" w:rsidRPr="0041083D" w:rsidRDefault="008719C5" w:rsidP="008719C5">
      <w:pPr>
        <w:ind w:firstLine="1560"/>
        <w:jc w:val="both"/>
        <w:rPr>
          <w:rFonts w:ascii="Times New Roman" w:eastAsia="Times New Roman" w:hAnsi="Times New Roman"/>
          <w:lang w:eastAsia="ar-SA"/>
        </w:rPr>
      </w:pPr>
      <w:r w:rsidRPr="0041083D">
        <w:rPr>
          <w:rFonts w:ascii="Times New Roman" w:eastAsia="Times New Roman" w:hAnsi="Times New Roman"/>
          <w:lang w:eastAsia="ar-SA"/>
        </w:rPr>
        <w:t>Conforme determina o art. 82, § 3º, d</w:t>
      </w:r>
      <w:r w:rsidR="00EC0520" w:rsidRPr="0041083D">
        <w:rPr>
          <w:rFonts w:ascii="Times New Roman" w:eastAsia="Times New Roman" w:hAnsi="Times New Roman"/>
          <w:lang w:eastAsia="ar-SA"/>
        </w:rPr>
        <w:t>a Lei Orgânica do Município, mencionada Mensagem com as</w:t>
      </w:r>
      <w:r w:rsidRPr="0041083D">
        <w:rPr>
          <w:rFonts w:ascii="Times New Roman" w:eastAsia="Times New Roman" w:hAnsi="Times New Roman"/>
          <w:lang w:eastAsia="ar-SA"/>
        </w:rPr>
        <w:t xml:space="preserve"> Razões de Veto foram publicadas no Diário Oficial </w:t>
      </w:r>
      <w:r w:rsidR="00EC0520" w:rsidRPr="0041083D">
        <w:rPr>
          <w:rFonts w:ascii="Times New Roman" w:eastAsia="Times New Roman" w:hAnsi="Times New Roman"/>
          <w:lang w:eastAsia="ar-SA"/>
        </w:rPr>
        <w:t xml:space="preserve">Eletrônico do Município de Sete Lagoas, </w:t>
      </w:r>
      <w:r w:rsidR="00683282" w:rsidRPr="0041083D">
        <w:rPr>
          <w:rFonts w:ascii="Times New Roman" w:eastAsia="Times New Roman" w:hAnsi="Times New Roman"/>
          <w:lang w:eastAsia="ar-SA"/>
        </w:rPr>
        <w:t xml:space="preserve">número </w:t>
      </w:r>
      <w:r w:rsidR="00EC0520" w:rsidRPr="0041083D">
        <w:rPr>
          <w:rFonts w:ascii="Times New Roman" w:eastAsia="Times New Roman" w:hAnsi="Times New Roman"/>
          <w:lang w:eastAsia="ar-SA"/>
        </w:rPr>
        <w:t xml:space="preserve">nº </w:t>
      </w:r>
      <w:r w:rsidR="00660A66">
        <w:rPr>
          <w:rFonts w:ascii="Times New Roman" w:eastAsia="Times New Roman" w:hAnsi="Times New Roman"/>
          <w:lang w:eastAsia="ar-SA"/>
        </w:rPr>
        <w:t>1639</w:t>
      </w:r>
      <w:r w:rsidR="00EC0520" w:rsidRPr="0041083D">
        <w:rPr>
          <w:rFonts w:ascii="Times New Roman" w:eastAsia="Times New Roman" w:hAnsi="Times New Roman"/>
          <w:lang w:eastAsia="ar-SA"/>
        </w:rPr>
        <w:t xml:space="preserve">, de </w:t>
      </w:r>
      <w:r w:rsidR="00660A66">
        <w:rPr>
          <w:rFonts w:ascii="Times New Roman" w:eastAsia="Times New Roman" w:hAnsi="Times New Roman"/>
          <w:lang w:eastAsia="ar-SA"/>
        </w:rPr>
        <w:t xml:space="preserve">16 </w:t>
      </w:r>
      <w:r w:rsidR="00EC0520" w:rsidRPr="0041083D">
        <w:rPr>
          <w:rFonts w:ascii="Times New Roman" w:eastAsia="Times New Roman" w:hAnsi="Times New Roman"/>
          <w:lang w:eastAsia="ar-SA"/>
        </w:rPr>
        <w:t xml:space="preserve">de </w:t>
      </w:r>
      <w:r w:rsidR="00660A66">
        <w:rPr>
          <w:rFonts w:ascii="Times New Roman" w:eastAsia="Times New Roman" w:hAnsi="Times New Roman"/>
          <w:lang w:eastAsia="ar-SA"/>
        </w:rPr>
        <w:t>janeiro</w:t>
      </w:r>
      <w:r w:rsidR="00F601ED" w:rsidRPr="0041083D">
        <w:rPr>
          <w:rFonts w:ascii="Times New Roman" w:eastAsia="Times New Roman" w:hAnsi="Times New Roman"/>
          <w:lang w:eastAsia="ar-SA"/>
        </w:rPr>
        <w:t xml:space="preserve"> </w:t>
      </w:r>
      <w:r w:rsidR="00EC0520" w:rsidRPr="0041083D">
        <w:rPr>
          <w:rFonts w:ascii="Times New Roman" w:eastAsia="Times New Roman" w:hAnsi="Times New Roman"/>
          <w:lang w:eastAsia="ar-SA"/>
        </w:rPr>
        <w:t>de 201</w:t>
      </w:r>
      <w:r w:rsidR="00683282" w:rsidRPr="0041083D">
        <w:rPr>
          <w:rFonts w:ascii="Times New Roman" w:eastAsia="Times New Roman" w:hAnsi="Times New Roman"/>
          <w:lang w:eastAsia="ar-SA"/>
        </w:rPr>
        <w:t>6</w:t>
      </w:r>
      <w:r w:rsidR="00F601ED" w:rsidRPr="0041083D">
        <w:rPr>
          <w:rFonts w:ascii="Times New Roman" w:eastAsia="Times New Roman" w:hAnsi="Times New Roman"/>
          <w:lang w:eastAsia="ar-SA"/>
        </w:rPr>
        <w:t>, p</w:t>
      </w:r>
      <w:r w:rsidR="00EC0520" w:rsidRPr="0041083D">
        <w:rPr>
          <w:rFonts w:ascii="Times New Roman" w:eastAsia="Times New Roman" w:hAnsi="Times New Roman"/>
          <w:lang w:eastAsia="ar-SA"/>
        </w:rPr>
        <w:t xml:space="preserve">. </w:t>
      </w:r>
      <w:r w:rsidR="00660A66">
        <w:rPr>
          <w:rFonts w:ascii="Times New Roman" w:eastAsia="Times New Roman" w:hAnsi="Times New Roman"/>
          <w:lang w:eastAsia="ar-SA"/>
        </w:rPr>
        <w:t>2/4</w:t>
      </w:r>
      <w:r w:rsidRPr="0041083D">
        <w:rPr>
          <w:rFonts w:ascii="Times New Roman" w:eastAsia="Times New Roman" w:hAnsi="Times New Roman"/>
          <w:lang w:eastAsia="ar-SA"/>
        </w:rPr>
        <w:t>.</w:t>
      </w:r>
    </w:p>
    <w:p w14:paraId="106A9F65" w14:textId="77777777" w:rsidR="005507F6" w:rsidRPr="0041083D" w:rsidRDefault="005507F6" w:rsidP="008719C5">
      <w:pPr>
        <w:ind w:firstLine="1560"/>
        <w:jc w:val="both"/>
        <w:rPr>
          <w:rFonts w:ascii="Times New Roman" w:eastAsia="Times New Roman" w:hAnsi="Times New Roman"/>
          <w:lang w:eastAsia="ar-SA"/>
        </w:rPr>
      </w:pPr>
    </w:p>
    <w:p w14:paraId="6571992A" w14:textId="1662D6B7" w:rsidR="005507F6" w:rsidRPr="002A05E4" w:rsidRDefault="008719C5" w:rsidP="008719C5">
      <w:pPr>
        <w:ind w:firstLine="1560"/>
        <w:jc w:val="both"/>
        <w:rPr>
          <w:rFonts w:ascii="Times New Roman" w:eastAsia="Times New Roman" w:hAnsi="Times New Roman"/>
          <w:color w:val="000000" w:themeColor="text1"/>
          <w:lang w:eastAsia="ar-SA"/>
        </w:rPr>
      </w:pPr>
      <w:r w:rsidRPr="002A05E4">
        <w:rPr>
          <w:rFonts w:ascii="Times New Roman" w:eastAsia="Times New Roman" w:hAnsi="Times New Roman"/>
          <w:color w:val="000000" w:themeColor="text1"/>
          <w:lang w:eastAsia="ar-SA"/>
        </w:rPr>
        <w:t>Em suas razões, menciona o Chefe</w:t>
      </w:r>
      <w:r w:rsidR="00B700B4" w:rsidRPr="002A05E4">
        <w:rPr>
          <w:rFonts w:ascii="Times New Roman" w:eastAsia="Times New Roman" w:hAnsi="Times New Roman"/>
          <w:color w:val="000000" w:themeColor="text1"/>
          <w:lang w:eastAsia="ar-SA"/>
        </w:rPr>
        <w:t xml:space="preserve"> do Executivo que</w:t>
      </w:r>
      <w:r w:rsidR="005507F6" w:rsidRPr="002A05E4">
        <w:rPr>
          <w:rFonts w:ascii="Times New Roman" w:eastAsia="Times New Roman" w:hAnsi="Times New Roman"/>
          <w:color w:val="000000" w:themeColor="text1"/>
          <w:lang w:eastAsia="ar-SA"/>
        </w:rPr>
        <w:t>:</w:t>
      </w:r>
    </w:p>
    <w:p w14:paraId="68D3E60C" w14:textId="77777777" w:rsidR="00996CD5" w:rsidRPr="002A05E4" w:rsidRDefault="00996CD5" w:rsidP="008719C5">
      <w:pPr>
        <w:ind w:firstLine="1560"/>
        <w:jc w:val="both"/>
        <w:rPr>
          <w:rFonts w:ascii="Times New Roman" w:eastAsia="Times New Roman" w:hAnsi="Times New Roman"/>
          <w:color w:val="000000" w:themeColor="text1"/>
          <w:lang w:eastAsia="ar-SA"/>
        </w:rPr>
      </w:pPr>
    </w:p>
    <w:p w14:paraId="36DFC261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Ao propor a proibição de participação de crianças e adolescentes em eventos com bebidas liberadas, mesmo acompanhados dos pais ou responsáveis, o projeto de lei em tela contraria dispositivos da Constituição Federal, do Estatuto da Criança e do Adolescente e do Código Civil, conforme disposto abaixo.</w:t>
      </w:r>
    </w:p>
    <w:p w14:paraId="0B8CAF35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 xml:space="preserve">A Constituição Federal disciplina que as crianças e adolescentes são sujeitos de direito, na ordem constitucional, respeitada a sua condição peculiar de pessoa em desenvolvimento, conforme previsto em seu artigo 227 abaixo transcrito: </w:t>
      </w:r>
    </w:p>
    <w:p w14:paraId="2F2A3A81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</w:p>
    <w:p w14:paraId="02132DD3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Art. 227. É dever da família, da sociedade e do Estado assegurar à criança, ao adolescente e ao jovem, com absoluta prioridade, o direito à vida, à saúde, à alimentação, à educação, ao lazer, à profissionalização, à cultura, à dignidade, ao respeito, à liberdade e à convivência familiar e comunitária, além de colocá-los a salvo de toda forma de negligência, discriminação, exploração, violência, crueldade e opressão. (Redação dada Pela Emenda Constitucional nº 65, de 2010)</w:t>
      </w:r>
    </w:p>
    <w:p w14:paraId="34D1ABA7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</w:p>
    <w:p w14:paraId="6AB301C1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Desta forma, temos que a criança e o adolescente têm os mesmos direitos que uma pessoa adulta e, além disso, têm alguns direitos especiais, por estarem em desenvolvimento físico, psicológico, moral e social.</w:t>
      </w:r>
    </w:p>
    <w:p w14:paraId="5EB304F6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Já o Estatuto da Criança e do Adolescente, legislação específica sobre a proteção integral, direitos e deveres, aduz que a criança e o adolescente como sujeitos de direito, deixam de ser objetos passivos para se tornarem titulares de direitos, são destinatários de absoluta prioridade, respeitando a condição peculiar de pessoa em desenvolvimento.</w:t>
      </w:r>
    </w:p>
    <w:p w14:paraId="5DE760E4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 xml:space="preserve">Nesse diapasão, visando proteger as crianças e adolescentes e garantir seu desenvolvimento integral, o ECA estabeleceu algumas normativas, dentre as </w:t>
      </w: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lastRenderedPageBreak/>
        <w:t>quais, proibiu a venda de bebidas alcoólicas a menores de 18 (dezoito) anos de idade, regulamentou a participação dos menores em eventos, espetáculos, diversões e lazer, conforme seu artigo 71, in verbis:</w:t>
      </w:r>
    </w:p>
    <w:p w14:paraId="107CE99E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</w:p>
    <w:p w14:paraId="231AFD42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Art. 71. A criança e o adolescente têm direito a informação, cultura, lazer, esportes, diversões, espetáculos e produtos e serviços que respeitem sua condição peculiar de pessoa em desenvolvimento.</w:t>
      </w:r>
    </w:p>
    <w:p w14:paraId="5D72A2EB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</w:p>
    <w:p w14:paraId="11E0F853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Com isso, temos que a regra é a liberdade, a exceção é a restrição desta. Isso pode ser visto do art. 80 do ECA, quando, por opção do legislador federal, determinou-se locais que os adolescentes e crianças não podem entrar. Foi assim, criada uma exceção.</w:t>
      </w:r>
    </w:p>
    <w:p w14:paraId="7EA351A7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</w:p>
    <w:p w14:paraId="5A807B23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Art. 80. Os responsáveis por estabelecimentos que explorem comercialmente bilhar, sinuca ou congênere ou por casas de jogos, assim entendidas as que realizem apostas, ainda que eventualmente, cuidarão para que não seja permitida a entrada e a permanência de crianças e adolescentes no local, afixando aviso para orientação do público.</w:t>
      </w:r>
    </w:p>
    <w:p w14:paraId="514A495B" w14:textId="778B5F6D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J</w:t>
      </w: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á em seu artigo 81, inciso II, o próprio Estatuto da Criança e do Adolescente afirma que é proibida a venda à criança ou ao adolescente de bebidas alcoólicas e estabelece em seu artigo 243 que este ato constitui crime, in verbis:</w:t>
      </w:r>
    </w:p>
    <w:p w14:paraId="29ED1AA0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</w:p>
    <w:p w14:paraId="08233B8D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Art. 81. É proibida a venda à criança ou ao adolescente de:</w:t>
      </w:r>
    </w:p>
    <w:p w14:paraId="4AB05861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(...)</w:t>
      </w:r>
    </w:p>
    <w:p w14:paraId="6A3B5801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II - bebidas alcoólicas;</w:t>
      </w:r>
    </w:p>
    <w:p w14:paraId="01AC053E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</w:p>
    <w:p w14:paraId="3F51DE0F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Art. 243 Vender, fornecer, servir, ministrar ou entregar, ainda que gratuitamente, de qualquer forma, a criança ou a adolescente, bebida alcoólica ou, sem justa causa, outros produtos cujos componentes possam causar dependência física ou psíquica:</w:t>
      </w:r>
    </w:p>
    <w:p w14:paraId="42C0CAAE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Pena - detenção de 2 (dois) a 4 (quatro) anos, e multa, se o fato não constitui crime mais grave.</w:t>
      </w:r>
    </w:p>
    <w:p w14:paraId="792C4EE6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</w:p>
    <w:p w14:paraId="33DBB7A7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Desta forma, o legislador municipal não pode contrariar as regras gerais, criando novas restrições, sendo que, para tanto, se faz necessária a modificação do ECA, pois conforme exposto, este já regulamenta amplamente a matéria.</w:t>
      </w:r>
    </w:p>
    <w:p w14:paraId="0EEB4E74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Importante ressaltar que toda criança e adolescente deve, a priori, ter acesso às diversões e espetáculos públicos. No entanto, deve ser observado cada evento, individualmente, objetivando não impedir as liberdades públicas, mas adequar o acesso dos menores aos princípios preconizados pela Constituição da República e Estatuto da Criança e Adolescente.</w:t>
      </w:r>
    </w:p>
    <w:p w14:paraId="7C58529F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Neste sentido, inclusive, já tramita no Senado Federal o PLS 486/2018, visando proibir a entrada de menores de 18 anos em eventos com distribuição de bebida alcoólica.</w:t>
      </w:r>
    </w:p>
    <w:p w14:paraId="744DCCE3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Noutro giro, não podemos deixar de afirmar que uma medida de restrição de liberdade de locomoção, mesmo que acompanhado pelos pais ou responsáveis, feriria o Poder Familiar, já que os pais têm o dever/poder de criar e educar seus filhos dentro de seus preceitos familiares. Neste sentido é disposto no Código Civil:</w:t>
      </w:r>
    </w:p>
    <w:p w14:paraId="67BA0FCE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</w:p>
    <w:p w14:paraId="67FD4F0A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Art. 1.634. Compete a ambos os pais, qualquer que seja a sua situação conjugal, o pleno exercício do poder familiar, que consiste em, quanto aos filhos(Redação dada pela Lei nº 13.058, de 2014)</w:t>
      </w:r>
    </w:p>
    <w:p w14:paraId="7BCE2079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I - dirigir-lhes a criação e a educação; (Redação dada pela Lei nº 13.058, de 2014)</w:t>
      </w:r>
    </w:p>
    <w:p w14:paraId="2DC0CD1A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II - exercer a guarda unilateral ou compartilhada nos termos do art. 1.584;(Redação dada pela Lei nº 13.058, de 2014)</w:t>
      </w:r>
    </w:p>
    <w:p w14:paraId="58891DC2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 xml:space="preserve">III - conceder-lhes ou negar-lhes consentimento para casarem;(Redação dada </w:t>
      </w: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lastRenderedPageBreak/>
        <w:t>pela Lei nº 13.058, de 2014)</w:t>
      </w:r>
    </w:p>
    <w:p w14:paraId="1F4787FA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IV - conceder-lhes ou negar-lhes consentimento para viajarem ao exterior;(Redação dada pela Lei nº 13.058, de 2014)</w:t>
      </w:r>
    </w:p>
    <w:p w14:paraId="163835E6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V - conceder-lhes ou negar-lhes consentimento para mudarem sua residência permanente para outro Município; (Redação dada pela Lei nº 13.058, de 2014)</w:t>
      </w:r>
    </w:p>
    <w:p w14:paraId="05787540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VI - nomear-lhes tutor por testamento ou documento autêntico, se o outro dos pais não lhe sobreviver, ou o sobrevivo não puder exercer o poder familiar; (Redação dada pela Lei nº 13.058, de 2014)</w:t>
      </w:r>
    </w:p>
    <w:p w14:paraId="7936D0AB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VII - representá-los judicial e extrajudicialmente até os 16 (dezesseis) anos, nos atos da vida civil, e assisti-los, após essa idade, nos atos em que forem partes, suprindo-lhes o consentimento; (Redação dada pela Lei nº 13.058, de 2014)</w:t>
      </w:r>
    </w:p>
    <w:p w14:paraId="46F027B5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VIII - reclamá-los de quem ilegalmente os detenha; (Incluído pela Lei nº 13.058, de 2014)</w:t>
      </w:r>
    </w:p>
    <w:p w14:paraId="063020B3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IX - exigir que lhes prestem obediência, respeito e os serviços próprios de sua idade e condição. (Incluído pela Lei nº 13.058, de 2014)</w:t>
      </w:r>
    </w:p>
    <w:p w14:paraId="7F63339D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</w:p>
    <w:p w14:paraId="52B27779" w14:textId="77777777" w:rsidR="00996CD5" w:rsidRPr="00996CD5" w:rsidRDefault="00996CD5" w:rsidP="00996CD5">
      <w:pPr>
        <w:ind w:left="226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Ou seja, a restrição da participação de crianças e adolescentes até mesmo devidamente acompanhados de seus pais ou responsável legal apresenta-se descabida, tendo em vista que a estes cabem primeiramente a obrigação de zelar pela segurança e pelo bem-estar de seus menores, principalmente quando presentes em eventos com bebidas alcoólicas.</w:t>
      </w:r>
    </w:p>
    <w:p w14:paraId="0A4F6344" w14:textId="77777777" w:rsidR="00996CD5" w:rsidRPr="00996CD5" w:rsidRDefault="00996CD5" w:rsidP="00996CD5">
      <w:pPr>
        <w:ind w:firstLine="1560"/>
        <w:jc w:val="both"/>
        <w:rPr>
          <w:rFonts w:ascii="Times New Roman" w:eastAsia="Times New Roman" w:hAnsi="Times New Roman"/>
          <w:color w:val="000000" w:themeColor="text1"/>
          <w:lang w:eastAsia="ar-SA"/>
        </w:rPr>
      </w:pPr>
    </w:p>
    <w:p w14:paraId="6F1A6DA1" w14:textId="239E487B" w:rsidR="00660A66" w:rsidRPr="00251A5D" w:rsidRDefault="00660A66" w:rsidP="00996CD5">
      <w:pPr>
        <w:ind w:firstLine="1560"/>
        <w:jc w:val="both"/>
        <w:rPr>
          <w:rFonts w:ascii="Times New Roman" w:eastAsia="Times New Roman" w:hAnsi="Times New Roman"/>
          <w:color w:val="000000" w:themeColor="text1"/>
          <w:lang w:eastAsia="ar-SA"/>
        </w:rPr>
      </w:pPr>
      <w:r w:rsidRPr="00996CD5">
        <w:rPr>
          <w:rFonts w:ascii="Times New Roman" w:eastAsia="Times New Roman" w:hAnsi="Times New Roman"/>
          <w:color w:val="000000" w:themeColor="text1"/>
          <w:lang w:eastAsia="ar-SA"/>
        </w:rPr>
        <w:t>As ra</w:t>
      </w:r>
      <w:r w:rsidRPr="00251A5D">
        <w:rPr>
          <w:rFonts w:ascii="Times New Roman" w:eastAsia="Times New Roman" w:hAnsi="Times New Roman"/>
          <w:color w:val="000000" w:themeColor="text1"/>
          <w:lang w:eastAsia="ar-SA"/>
        </w:rPr>
        <w:t xml:space="preserve">zões de veto vão ao encontro </w:t>
      </w:r>
      <w:r w:rsidR="00251A5D" w:rsidRPr="00251A5D">
        <w:rPr>
          <w:rFonts w:ascii="Times New Roman" w:eastAsia="Times New Roman" w:hAnsi="Times New Roman"/>
          <w:color w:val="000000" w:themeColor="text1"/>
          <w:lang w:eastAsia="ar-SA"/>
        </w:rPr>
        <w:t>do Parecer da Comissão de Legislação e Justiça, que já havia apontado ilegalidade</w:t>
      </w:r>
      <w:r w:rsidR="00251A5D">
        <w:rPr>
          <w:rFonts w:ascii="Times New Roman" w:eastAsia="Times New Roman" w:hAnsi="Times New Roman"/>
          <w:color w:val="000000" w:themeColor="text1"/>
          <w:lang w:eastAsia="ar-SA"/>
        </w:rPr>
        <w:t>s</w:t>
      </w:r>
      <w:r w:rsidR="00251A5D" w:rsidRPr="00251A5D">
        <w:rPr>
          <w:rFonts w:ascii="Times New Roman" w:eastAsia="Times New Roman" w:hAnsi="Times New Roman"/>
          <w:color w:val="000000" w:themeColor="text1"/>
          <w:lang w:eastAsia="ar-SA"/>
        </w:rPr>
        <w:t xml:space="preserve"> </w:t>
      </w:r>
      <w:r w:rsidR="00251A5D">
        <w:rPr>
          <w:rFonts w:ascii="Times New Roman" w:eastAsia="Times New Roman" w:hAnsi="Times New Roman"/>
          <w:color w:val="000000" w:themeColor="text1"/>
          <w:lang w:eastAsia="ar-SA"/>
        </w:rPr>
        <w:t>n</w:t>
      </w:r>
      <w:r w:rsidR="00251A5D" w:rsidRPr="00251A5D">
        <w:rPr>
          <w:rFonts w:ascii="Times New Roman" w:eastAsia="Times New Roman" w:hAnsi="Times New Roman"/>
          <w:color w:val="000000" w:themeColor="text1"/>
          <w:lang w:eastAsia="ar-SA"/>
        </w:rPr>
        <w:t xml:space="preserve">a proposição. </w:t>
      </w:r>
    </w:p>
    <w:p w14:paraId="0807963B" w14:textId="77777777" w:rsidR="00660A66" w:rsidRDefault="00660A66" w:rsidP="000C4772">
      <w:pPr>
        <w:ind w:firstLine="1560"/>
        <w:jc w:val="both"/>
        <w:rPr>
          <w:rFonts w:ascii="Times New Roman" w:eastAsia="Times New Roman" w:hAnsi="Times New Roman"/>
          <w:lang w:eastAsia="ar-SA"/>
        </w:rPr>
      </w:pPr>
    </w:p>
    <w:p w14:paraId="198F550A" w14:textId="1E9D3838" w:rsidR="000C4772" w:rsidRPr="000C4772" w:rsidRDefault="000C4772" w:rsidP="000C4772">
      <w:pPr>
        <w:ind w:firstLine="1560"/>
        <w:jc w:val="both"/>
        <w:rPr>
          <w:rFonts w:ascii="Times New Roman" w:eastAsia="Times New Roman" w:hAnsi="Times New Roman"/>
          <w:lang w:eastAsia="ar-SA"/>
        </w:rPr>
      </w:pPr>
      <w:r w:rsidRPr="000C4772">
        <w:rPr>
          <w:rFonts w:ascii="Times New Roman" w:eastAsia="Times New Roman" w:hAnsi="Times New Roman"/>
          <w:lang w:eastAsia="ar-SA"/>
        </w:rPr>
        <w:t xml:space="preserve">Nesse diapasão, razão assiste ao Poder Executivo quando considera que o Projeto de Lei nº </w:t>
      </w:r>
      <w:r>
        <w:rPr>
          <w:rFonts w:ascii="Times New Roman" w:eastAsia="Times New Roman" w:hAnsi="Times New Roman"/>
          <w:lang w:eastAsia="ar-SA"/>
        </w:rPr>
        <w:t>3</w:t>
      </w:r>
      <w:r w:rsidR="00AD3D90">
        <w:rPr>
          <w:rFonts w:ascii="Times New Roman" w:eastAsia="Times New Roman" w:hAnsi="Times New Roman"/>
          <w:lang w:eastAsia="ar-SA"/>
        </w:rPr>
        <w:t>9</w:t>
      </w:r>
      <w:r>
        <w:rPr>
          <w:rFonts w:ascii="Times New Roman" w:eastAsia="Times New Roman" w:hAnsi="Times New Roman"/>
          <w:lang w:eastAsia="ar-SA"/>
        </w:rPr>
        <w:t>8</w:t>
      </w:r>
      <w:r w:rsidRPr="000C4772">
        <w:rPr>
          <w:rFonts w:ascii="Times New Roman" w:eastAsia="Times New Roman" w:hAnsi="Times New Roman"/>
          <w:lang w:eastAsia="ar-SA"/>
        </w:rPr>
        <w:t>/2016, deve ser vetado. Assim sendo, concluo pela manutenção das razões de veto total ao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0C4772">
        <w:rPr>
          <w:rFonts w:ascii="Times New Roman" w:eastAsia="Times New Roman" w:hAnsi="Times New Roman"/>
          <w:lang w:eastAsia="ar-SA"/>
        </w:rPr>
        <w:t xml:space="preserve">Projeto de Lei nº </w:t>
      </w:r>
      <w:r>
        <w:rPr>
          <w:rFonts w:ascii="Times New Roman" w:eastAsia="Times New Roman" w:hAnsi="Times New Roman"/>
          <w:lang w:eastAsia="ar-SA"/>
        </w:rPr>
        <w:t>3</w:t>
      </w:r>
      <w:r w:rsidR="00AD3D90">
        <w:rPr>
          <w:rFonts w:ascii="Times New Roman" w:eastAsia="Times New Roman" w:hAnsi="Times New Roman"/>
          <w:lang w:eastAsia="ar-SA"/>
        </w:rPr>
        <w:t>9</w:t>
      </w:r>
      <w:bookmarkStart w:id="0" w:name="_GoBack"/>
      <w:bookmarkEnd w:id="0"/>
      <w:r>
        <w:rPr>
          <w:rFonts w:ascii="Times New Roman" w:eastAsia="Times New Roman" w:hAnsi="Times New Roman"/>
          <w:lang w:eastAsia="ar-SA"/>
        </w:rPr>
        <w:t>8/2019</w:t>
      </w:r>
      <w:r w:rsidRPr="000C4772">
        <w:rPr>
          <w:rFonts w:ascii="Times New Roman" w:eastAsia="Times New Roman" w:hAnsi="Times New Roman"/>
          <w:lang w:eastAsia="ar-SA"/>
        </w:rPr>
        <w:t xml:space="preserve"> que “</w:t>
      </w:r>
      <w:r>
        <w:rPr>
          <w:rFonts w:ascii="Times New Roman" w:eastAsia="Times New Roman" w:hAnsi="Times New Roman"/>
          <w:lang w:eastAsia="ar-SA"/>
        </w:rPr>
        <w:t>Proíbe a participação de crianças e adolescentes em eventos de natureza comercial com bebidas alcoólicas liberadas, open bar, mesmo que estes estejam acompanhados de seus pais ou responsáveis</w:t>
      </w:r>
      <w:r w:rsidRPr="000C4772">
        <w:rPr>
          <w:rFonts w:ascii="Times New Roman" w:eastAsia="Times New Roman" w:hAnsi="Times New Roman"/>
          <w:lang w:eastAsia="ar-SA"/>
        </w:rPr>
        <w:t>”.</w:t>
      </w:r>
    </w:p>
    <w:p w14:paraId="666B3B57" w14:textId="77777777" w:rsidR="001D1CAF" w:rsidRPr="0041083D" w:rsidRDefault="001D1CAF" w:rsidP="008719C5">
      <w:pPr>
        <w:ind w:firstLine="1560"/>
        <w:jc w:val="both"/>
        <w:rPr>
          <w:rFonts w:ascii="Times New Roman" w:eastAsia="Times New Roman" w:hAnsi="Times New Roman"/>
          <w:lang w:eastAsia="ar-SA"/>
        </w:rPr>
      </w:pPr>
    </w:p>
    <w:p w14:paraId="3AD0742A" w14:textId="160C38B7" w:rsidR="008719C5" w:rsidRPr="0041083D" w:rsidRDefault="009E1967" w:rsidP="008719C5">
      <w:pPr>
        <w:ind w:firstLine="1560"/>
        <w:jc w:val="both"/>
        <w:rPr>
          <w:rFonts w:ascii="Times New Roman" w:eastAsia="Times New Roman" w:hAnsi="Times New Roman"/>
          <w:lang w:eastAsia="ar-SA"/>
        </w:rPr>
      </w:pPr>
      <w:r w:rsidRPr="0041083D">
        <w:rPr>
          <w:rFonts w:ascii="Times New Roman" w:eastAsia="Times New Roman" w:hAnsi="Times New Roman"/>
          <w:lang w:eastAsia="ar-SA"/>
        </w:rPr>
        <w:t xml:space="preserve">Sala das Reuniões, </w:t>
      </w:r>
      <w:r w:rsidR="000C4772">
        <w:rPr>
          <w:rFonts w:ascii="Times New Roman" w:eastAsia="Times New Roman" w:hAnsi="Times New Roman"/>
          <w:lang w:eastAsia="ar-SA"/>
        </w:rPr>
        <w:t xml:space="preserve">19 </w:t>
      </w:r>
      <w:r w:rsidR="008719C5" w:rsidRPr="0041083D">
        <w:rPr>
          <w:rFonts w:ascii="Times New Roman" w:eastAsia="Times New Roman" w:hAnsi="Times New Roman"/>
          <w:lang w:eastAsia="ar-SA"/>
        </w:rPr>
        <w:t>de</w:t>
      </w:r>
      <w:r w:rsidRPr="0041083D">
        <w:rPr>
          <w:rFonts w:ascii="Times New Roman" w:eastAsia="Times New Roman" w:hAnsi="Times New Roman"/>
          <w:lang w:eastAsia="ar-SA"/>
        </w:rPr>
        <w:t xml:space="preserve"> </w:t>
      </w:r>
      <w:r w:rsidR="005A23F7" w:rsidRPr="0041083D">
        <w:rPr>
          <w:rFonts w:ascii="Times New Roman" w:eastAsia="Times New Roman" w:hAnsi="Times New Roman"/>
          <w:lang w:eastAsia="ar-SA"/>
        </w:rPr>
        <w:t xml:space="preserve">fevereiro </w:t>
      </w:r>
      <w:r w:rsidR="008719C5" w:rsidRPr="0041083D">
        <w:rPr>
          <w:rFonts w:ascii="Times New Roman" w:eastAsia="Times New Roman" w:hAnsi="Times New Roman"/>
          <w:lang w:eastAsia="ar-SA"/>
        </w:rPr>
        <w:t>de 20</w:t>
      </w:r>
      <w:r w:rsidR="000C4772">
        <w:rPr>
          <w:rFonts w:ascii="Times New Roman" w:eastAsia="Times New Roman" w:hAnsi="Times New Roman"/>
          <w:lang w:eastAsia="ar-SA"/>
        </w:rPr>
        <w:t>20</w:t>
      </w:r>
      <w:r w:rsidR="008719C5" w:rsidRPr="0041083D">
        <w:rPr>
          <w:rFonts w:ascii="Times New Roman" w:eastAsia="Times New Roman" w:hAnsi="Times New Roman"/>
          <w:lang w:eastAsia="ar-SA"/>
        </w:rPr>
        <w:t>.</w:t>
      </w:r>
    </w:p>
    <w:p w14:paraId="6A0536E3" w14:textId="5AC97A53" w:rsidR="008719C5" w:rsidRDefault="008719C5" w:rsidP="008719C5">
      <w:pPr>
        <w:ind w:firstLine="1560"/>
        <w:jc w:val="both"/>
        <w:rPr>
          <w:rFonts w:ascii="Times New Roman" w:eastAsia="Times New Roman" w:hAnsi="Times New Roman"/>
          <w:lang w:eastAsia="ar-SA"/>
        </w:rPr>
      </w:pPr>
    </w:p>
    <w:p w14:paraId="7E669731" w14:textId="40C33939" w:rsidR="00815A7C" w:rsidRDefault="00815A7C" w:rsidP="008719C5">
      <w:pPr>
        <w:ind w:firstLine="1560"/>
        <w:jc w:val="both"/>
        <w:rPr>
          <w:rFonts w:ascii="Times New Roman" w:eastAsia="Times New Roman" w:hAnsi="Times New Roman"/>
          <w:lang w:eastAsia="ar-SA"/>
        </w:rPr>
      </w:pPr>
    </w:p>
    <w:p w14:paraId="1C771474" w14:textId="22C87D05" w:rsidR="00815A7C" w:rsidRDefault="00815A7C" w:rsidP="008719C5">
      <w:pPr>
        <w:ind w:firstLine="1560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Marcelo Pires Rodrigues</w:t>
      </w:r>
    </w:p>
    <w:p w14:paraId="0070F89F" w14:textId="376B72E3" w:rsidR="00815A7C" w:rsidRPr="0041083D" w:rsidRDefault="00815A7C" w:rsidP="008719C5">
      <w:pPr>
        <w:ind w:firstLine="1560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Relator</w:t>
      </w:r>
    </w:p>
    <w:p w14:paraId="6517952E" w14:textId="77777777" w:rsidR="008719C5" w:rsidRPr="0041083D" w:rsidRDefault="008719C5" w:rsidP="008719C5">
      <w:pPr>
        <w:ind w:firstLine="1560"/>
        <w:jc w:val="both"/>
        <w:rPr>
          <w:rFonts w:ascii="Times New Roman" w:eastAsia="Times New Roman" w:hAnsi="Times New Roman"/>
          <w:lang w:eastAsia="ar-SA"/>
        </w:rPr>
      </w:pPr>
    </w:p>
    <w:p w14:paraId="34DB7AE3" w14:textId="6DAF1677" w:rsidR="001D1CAF" w:rsidRDefault="00815A7C" w:rsidP="008719C5">
      <w:pPr>
        <w:ind w:firstLine="1560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V O T O S</w:t>
      </w:r>
    </w:p>
    <w:p w14:paraId="70FDBE27" w14:textId="77777777" w:rsidR="00815A7C" w:rsidRPr="0041083D" w:rsidRDefault="00815A7C" w:rsidP="008719C5">
      <w:pPr>
        <w:ind w:firstLine="1560"/>
        <w:jc w:val="both"/>
        <w:rPr>
          <w:rFonts w:ascii="Times New Roman" w:eastAsia="Times New Roman" w:hAnsi="Times New Roman"/>
          <w:lang w:eastAsia="ar-SA"/>
        </w:rPr>
      </w:pPr>
    </w:p>
    <w:p w14:paraId="63061627" w14:textId="77777777" w:rsidR="008719C5" w:rsidRPr="0041083D" w:rsidRDefault="008719C5" w:rsidP="008719C5">
      <w:pPr>
        <w:ind w:firstLine="1560"/>
        <w:jc w:val="both"/>
        <w:rPr>
          <w:rFonts w:ascii="Times New Roman" w:eastAsia="Times New Roman" w:hAnsi="Times New Roman"/>
          <w:lang w:eastAsia="ar-SA"/>
        </w:rPr>
      </w:pPr>
      <w:r w:rsidRPr="0041083D">
        <w:rPr>
          <w:rFonts w:ascii="Times New Roman" w:eastAsia="Times New Roman" w:hAnsi="Times New Roman"/>
          <w:lang w:eastAsia="ar-SA"/>
        </w:rPr>
        <w:t xml:space="preserve">De acordo com </w:t>
      </w:r>
      <w:r w:rsidR="00487AD2" w:rsidRPr="0041083D">
        <w:rPr>
          <w:rFonts w:ascii="Times New Roman" w:eastAsia="Times New Roman" w:hAnsi="Times New Roman"/>
          <w:lang w:eastAsia="ar-SA"/>
        </w:rPr>
        <w:t>a</w:t>
      </w:r>
      <w:r w:rsidRPr="0041083D">
        <w:rPr>
          <w:rFonts w:ascii="Times New Roman" w:eastAsia="Times New Roman" w:hAnsi="Times New Roman"/>
          <w:lang w:eastAsia="ar-SA"/>
        </w:rPr>
        <w:t xml:space="preserve"> relator</w:t>
      </w:r>
      <w:r w:rsidR="00487AD2" w:rsidRPr="0041083D">
        <w:rPr>
          <w:rFonts w:ascii="Times New Roman" w:eastAsia="Times New Roman" w:hAnsi="Times New Roman"/>
          <w:lang w:eastAsia="ar-SA"/>
        </w:rPr>
        <w:t>.</w:t>
      </w:r>
    </w:p>
    <w:p w14:paraId="7B8CBF24" w14:textId="77777777" w:rsidR="008719C5" w:rsidRPr="0041083D" w:rsidRDefault="008719C5" w:rsidP="008719C5">
      <w:pPr>
        <w:ind w:firstLine="1560"/>
        <w:jc w:val="both"/>
        <w:rPr>
          <w:rFonts w:ascii="Times New Roman" w:eastAsia="Times New Roman" w:hAnsi="Times New Roman"/>
          <w:lang w:eastAsia="ar-SA"/>
        </w:rPr>
      </w:pPr>
    </w:p>
    <w:p w14:paraId="53E92A08" w14:textId="77777777" w:rsidR="002B6C87" w:rsidRPr="0041083D" w:rsidRDefault="002B6C87" w:rsidP="008719C5">
      <w:pPr>
        <w:ind w:firstLine="1560"/>
        <w:jc w:val="both"/>
        <w:rPr>
          <w:rFonts w:ascii="Times New Roman" w:eastAsia="Times New Roman" w:hAnsi="Times New Roman"/>
          <w:lang w:eastAsia="ar-SA"/>
        </w:rPr>
      </w:pPr>
    </w:p>
    <w:p w14:paraId="32FE5783" w14:textId="77777777" w:rsidR="009E1967" w:rsidRPr="0041083D" w:rsidRDefault="005A23F7" w:rsidP="009E1967">
      <w:pPr>
        <w:ind w:firstLine="1560"/>
        <w:rPr>
          <w:rFonts w:ascii="Times New Roman" w:eastAsia="Times New Roman" w:hAnsi="Times New Roman"/>
          <w:lang w:eastAsia="ar-SA"/>
        </w:rPr>
      </w:pPr>
      <w:r w:rsidRPr="0041083D">
        <w:rPr>
          <w:rFonts w:ascii="Times New Roman" w:eastAsia="Times New Roman" w:hAnsi="Times New Roman"/>
          <w:lang w:eastAsia="ar-SA"/>
        </w:rPr>
        <w:t>Gislene Inocência Silva Carvalho</w:t>
      </w:r>
    </w:p>
    <w:p w14:paraId="627017ED" w14:textId="7BDA269C" w:rsidR="00003E56" w:rsidRDefault="000C4772" w:rsidP="00487AD2">
      <w:pPr>
        <w:ind w:firstLine="1560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Presidente</w:t>
      </w:r>
    </w:p>
    <w:p w14:paraId="7B082CC6" w14:textId="03AA9CBF" w:rsidR="00815A7C" w:rsidRDefault="00815A7C" w:rsidP="00487AD2">
      <w:pPr>
        <w:ind w:firstLine="1560"/>
        <w:rPr>
          <w:rFonts w:ascii="Times New Roman" w:eastAsia="Times New Roman" w:hAnsi="Times New Roman"/>
          <w:lang w:eastAsia="ar-SA"/>
        </w:rPr>
      </w:pPr>
    </w:p>
    <w:p w14:paraId="434C05C2" w14:textId="5685AA0F" w:rsidR="00815A7C" w:rsidRDefault="00815A7C" w:rsidP="00487AD2">
      <w:pPr>
        <w:ind w:firstLine="1560"/>
        <w:rPr>
          <w:rFonts w:ascii="Times New Roman" w:eastAsia="Times New Roman" w:hAnsi="Times New Roman"/>
          <w:lang w:eastAsia="ar-SA"/>
        </w:rPr>
      </w:pPr>
    </w:p>
    <w:p w14:paraId="2159B093" w14:textId="77777777" w:rsidR="00815A7C" w:rsidRPr="0041083D" w:rsidRDefault="00815A7C" w:rsidP="00815A7C">
      <w:pPr>
        <w:ind w:firstLine="1560"/>
        <w:jc w:val="both"/>
        <w:rPr>
          <w:rFonts w:ascii="Times New Roman" w:eastAsia="Times New Roman" w:hAnsi="Times New Roman"/>
          <w:lang w:eastAsia="ar-SA"/>
        </w:rPr>
      </w:pPr>
      <w:r w:rsidRPr="0041083D">
        <w:rPr>
          <w:rFonts w:ascii="Times New Roman" w:eastAsia="Times New Roman" w:hAnsi="Times New Roman"/>
          <w:lang w:eastAsia="ar-SA"/>
        </w:rPr>
        <w:t>Ismael Soares de Moura</w:t>
      </w:r>
    </w:p>
    <w:p w14:paraId="60D9DF55" w14:textId="7F181ACF" w:rsidR="00815A7C" w:rsidRPr="0041083D" w:rsidRDefault="00815A7C" w:rsidP="00487AD2">
      <w:pPr>
        <w:ind w:firstLine="1560"/>
        <w:rPr>
          <w:rFonts w:ascii="Times New Roman" w:hAnsi="Times New Roman"/>
        </w:rPr>
      </w:pPr>
      <w:r>
        <w:rPr>
          <w:rFonts w:ascii="Times New Roman" w:hAnsi="Times New Roman"/>
        </w:rPr>
        <w:t>Vogal</w:t>
      </w:r>
    </w:p>
    <w:sectPr w:rsidR="00815A7C" w:rsidRPr="0041083D" w:rsidSect="008E6B4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2872F" w14:textId="77777777" w:rsidR="00707300" w:rsidRDefault="00707300" w:rsidP="005507F6">
      <w:r>
        <w:separator/>
      </w:r>
    </w:p>
  </w:endnote>
  <w:endnote w:type="continuationSeparator" w:id="0">
    <w:p w14:paraId="2EE647C9" w14:textId="77777777" w:rsidR="00707300" w:rsidRDefault="00707300" w:rsidP="0055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2C90D" w14:textId="77777777" w:rsidR="00707300" w:rsidRDefault="00707300" w:rsidP="005507F6">
      <w:r>
        <w:separator/>
      </w:r>
    </w:p>
  </w:footnote>
  <w:footnote w:type="continuationSeparator" w:id="0">
    <w:p w14:paraId="3A83DFCE" w14:textId="77777777" w:rsidR="00707300" w:rsidRDefault="00707300" w:rsidP="00550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47413" w14:textId="1C7B11E8" w:rsidR="0041083D" w:rsidRPr="008D6C3E" w:rsidRDefault="0041083D" w:rsidP="0041083D">
    <w:pPr>
      <w:pStyle w:val="Cabealho"/>
      <w:jc w:val="center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134231B" wp14:editId="5F71E6A9">
          <wp:simplePos x="0" y="0"/>
          <wp:positionH relativeFrom="column">
            <wp:posOffset>4949190</wp:posOffset>
          </wp:positionH>
          <wp:positionV relativeFrom="paragraph">
            <wp:posOffset>-78105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2B9525F1" wp14:editId="6DB0FBE6">
          <wp:simplePos x="0" y="0"/>
          <wp:positionH relativeFrom="margin">
            <wp:posOffset>-381000</wp:posOffset>
          </wp:positionH>
          <wp:positionV relativeFrom="paragraph">
            <wp:posOffset>-182245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</w:t>
    </w:r>
    <w:r w:rsidRPr="008D6C3E">
      <w:rPr>
        <w:b/>
        <w:sz w:val="32"/>
      </w:rPr>
      <w:t>âmara Municipal de Sete Lagoas</w:t>
    </w:r>
  </w:p>
  <w:p w14:paraId="4205DC96" w14:textId="77777777" w:rsidR="0041083D" w:rsidRDefault="0041083D" w:rsidP="0041083D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5EC3E9B" w14:textId="77777777" w:rsidR="0041083D" w:rsidRDefault="0041083D" w:rsidP="0041083D">
    <w:pPr>
      <w:pStyle w:val="Cabealho"/>
      <w:jc w:val="center"/>
      <w:rPr>
        <w:sz w:val="18"/>
      </w:rPr>
    </w:pPr>
    <w:r>
      <w:rPr>
        <w:sz w:val="18"/>
      </w:rPr>
      <w:t>Rua: Domingos L’Ouverture,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032AB187" w14:textId="77777777" w:rsidR="0041083D" w:rsidRPr="008D6C3E" w:rsidRDefault="0041083D" w:rsidP="0041083D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68298079" w14:textId="17E94D34" w:rsidR="007D5314" w:rsidRDefault="007D5314" w:rsidP="004108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9C5"/>
    <w:rsid w:val="00003E56"/>
    <w:rsid w:val="000C4772"/>
    <w:rsid w:val="0012555A"/>
    <w:rsid w:val="00161D86"/>
    <w:rsid w:val="001D1CAF"/>
    <w:rsid w:val="001D6A18"/>
    <w:rsid w:val="00202243"/>
    <w:rsid w:val="00243B19"/>
    <w:rsid w:val="00251539"/>
    <w:rsid w:val="00251A5D"/>
    <w:rsid w:val="002A05E4"/>
    <w:rsid w:val="002B3040"/>
    <w:rsid w:val="002B6C87"/>
    <w:rsid w:val="003345E9"/>
    <w:rsid w:val="0041083D"/>
    <w:rsid w:val="00454547"/>
    <w:rsid w:val="00487AD2"/>
    <w:rsid w:val="0051035A"/>
    <w:rsid w:val="00526122"/>
    <w:rsid w:val="005507F6"/>
    <w:rsid w:val="005A23F7"/>
    <w:rsid w:val="005F3740"/>
    <w:rsid w:val="00605CFB"/>
    <w:rsid w:val="006321B8"/>
    <w:rsid w:val="00660A66"/>
    <w:rsid w:val="00683282"/>
    <w:rsid w:val="00707300"/>
    <w:rsid w:val="00756FC4"/>
    <w:rsid w:val="007C5931"/>
    <w:rsid w:val="007D5314"/>
    <w:rsid w:val="007E4188"/>
    <w:rsid w:val="00815A7C"/>
    <w:rsid w:val="008274A1"/>
    <w:rsid w:val="00851350"/>
    <w:rsid w:val="008719C5"/>
    <w:rsid w:val="008B039D"/>
    <w:rsid w:val="008E6B46"/>
    <w:rsid w:val="00937990"/>
    <w:rsid w:val="00975CCB"/>
    <w:rsid w:val="00996CD5"/>
    <w:rsid w:val="009E1967"/>
    <w:rsid w:val="00A35669"/>
    <w:rsid w:val="00A66FAE"/>
    <w:rsid w:val="00A67E2B"/>
    <w:rsid w:val="00AD3D90"/>
    <w:rsid w:val="00B700B4"/>
    <w:rsid w:val="00BB48DB"/>
    <w:rsid w:val="00BC1BF4"/>
    <w:rsid w:val="00BE6D53"/>
    <w:rsid w:val="00DE440D"/>
    <w:rsid w:val="00EB272E"/>
    <w:rsid w:val="00EC0520"/>
    <w:rsid w:val="00F13E35"/>
    <w:rsid w:val="00F4401A"/>
    <w:rsid w:val="00F53299"/>
    <w:rsid w:val="00F6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0734"/>
  <w15:docId w15:val="{2B4089F1-F3FC-4F4B-9FD9-889268C6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9C5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07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07F6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507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07F6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7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72E"/>
    <w:rPr>
      <w:rFonts w:ascii="Segoe UI" w:eastAsia="DejaVu Sans" w:hAnsi="Segoe UI" w:cs="Segoe UI"/>
      <w:kern w:val="2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2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1279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ADIMARA FELIX DE SOUZA</cp:lastModifiedBy>
  <cp:revision>6</cp:revision>
  <cp:lastPrinted>2017-02-20T13:18:00Z</cp:lastPrinted>
  <dcterms:created xsi:type="dcterms:W3CDTF">2020-02-21T19:29:00Z</dcterms:created>
  <dcterms:modified xsi:type="dcterms:W3CDTF">2020-02-27T13:59:00Z</dcterms:modified>
</cp:coreProperties>
</file>