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86" w:rsidRPr="00CB1B7C" w:rsidRDefault="00087886" w:rsidP="00577AA5">
      <w:pPr>
        <w:jc w:val="center"/>
        <w:rPr>
          <w:rFonts w:ascii="Arial" w:hAnsi="Arial" w:cs="Arial"/>
          <w:b/>
          <w:bCs/>
        </w:rPr>
      </w:pPr>
      <w:bookmarkStart w:id="0" w:name="_GoBack"/>
      <w:bookmarkEnd w:id="0"/>
    </w:p>
    <w:p w:rsidR="00577AA5" w:rsidRPr="00CB1B7C" w:rsidRDefault="006C6410" w:rsidP="00577AA5">
      <w:pPr>
        <w:jc w:val="center"/>
        <w:rPr>
          <w:rFonts w:ascii="Arial" w:hAnsi="Arial" w:cs="Arial"/>
          <w:b/>
          <w:bCs/>
          <w:sz w:val="36"/>
        </w:rPr>
      </w:pPr>
      <w:r w:rsidRPr="00CB1B7C">
        <w:rPr>
          <w:rFonts w:ascii="Arial" w:hAnsi="Arial" w:cs="Arial"/>
          <w:b/>
          <w:bCs/>
          <w:sz w:val="36"/>
        </w:rPr>
        <w:t>P</w:t>
      </w:r>
      <w:r w:rsidR="00B20459" w:rsidRPr="00CB1B7C">
        <w:rPr>
          <w:rFonts w:ascii="Arial" w:hAnsi="Arial" w:cs="Arial"/>
          <w:b/>
          <w:bCs/>
          <w:sz w:val="36"/>
        </w:rPr>
        <w:t>ARECER REGIMENTAL</w:t>
      </w:r>
      <w:r w:rsidR="00420DBE" w:rsidRPr="00CB1B7C">
        <w:rPr>
          <w:rFonts w:ascii="Arial" w:hAnsi="Arial" w:cs="Arial"/>
          <w:b/>
          <w:bCs/>
          <w:sz w:val="36"/>
        </w:rPr>
        <w:t xml:space="preserve"> </w:t>
      </w:r>
      <w:r w:rsidR="00F51008">
        <w:rPr>
          <w:rFonts w:ascii="Arial" w:hAnsi="Arial" w:cs="Arial"/>
          <w:b/>
          <w:bCs/>
          <w:sz w:val="36"/>
          <w:u w:val="single"/>
        </w:rPr>
        <w:t>CONTRÁRIO</w:t>
      </w:r>
    </w:p>
    <w:p w:rsidR="00087886" w:rsidRPr="00CB1B7C" w:rsidRDefault="00087886" w:rsidP="00577AA5">
      <w:pPr>
        <w:jc w:val="center"/>
        <w:rPr>
          <w:rFonts w:ascii="Arial" w:hAnsi="Arial" w:cs="Arial"/>
          <w:b/>
          <w:bCs/>
        </w:rPr>
      </w:pPr>
    </w:p>
    <w:p w:rsidR="00577AA5" w:rsidRPr="00CB1B7C" w:rsidRDefault="00577AA5" w:rsidP="00577AA5">
      <w:pPr>
        <w:jc w:val="center"/>
        <w:rPr>
          <w:rFonts w:ascii="Arial" w:hAnsi="Arial" w:cs="Arial"/>
          <w:b/>
          <w:bCs/>
          <w:sz w:val="36"/>
        </w:rPr>
      </w:pPr>
      <w:r w:rsidRPr="00CB1B7C">
        <w:rPr>
          <w:rFonts w:ascii="Arial" w:hAnsi="Arial" w:cs="Arial"/>
          <w:b/>
          <w:bCs/>
          <w:sz w:val="36"/>
        </w:rPr>
        <w:t>COMISSÃO DE LEGISLAÇÃO E JUSTIÇA</w:t>
      </w:r>
      <w:r w:rsidR="00420DBE" w:rsidRPr="00CB1B7C">
        <w:rPr>
          <w:rFonts w:ascii="Arial" w:hAnsi="Arial" w:cs="Arial"/>
          <w:b/>
          <w:bCs/>
          <w:sz w:val="36"/>
        </w:rPr>
        <w:t xml:space="preserve"> </w:t>
      </w:r>
    </w:p>
    <w:p w:rsidR="00CB164F" w:rsidRPr="00CB1B7C" w:rsidRDefault="00CB164F" w:rsidP="00CB164F">
      <w:pPr>
        <w:jc w:val="center"/>
        <w:rPr>
          <w:rFonts w:ascii="Arial" w:hAnsi="Arial" w:cs="Arial"/>
          <w:b/>
          <w:bCs/>
        </w:rPr>
      </w:pPr>
    </w:p>
    <w:p w:rsidR="00E07492" w:rsidRPr="00CB1B7C" w:rsidRDefault="00085DC8" w:rsidP="00CF65AB">
      <w:pPr>
        <w:jc w:val="both"/>
        <w:rPr>
          <w:rFonts w:ascii="Arial" w:hAnsi="Arial" w:cs="Arial"/>
          <w:b/>
          <w:bCs/>
        </w:rPr>
      </w:pPr>
      <w:r w:rsidRPr="00CB1B7C">
        <w:rPr>
          <w:rFonts w:ascii="Arial" w:hAnsi="Arial" w:cs="Arial"/>
          <w:b/>
          <w:bCs/>
        </w:rPr>
        <w:t xml:space="preserve">MATÉRIA: </w:t>
      </w:r>
    </w:p>
    <w:p w:rsidR="00F51008" w:rsidRPr="00CB1B7C" w:rsidRDefault="00E07492" w:rsidP="00F51008">
      <w:pPr>
        <w:jc w:val="both"/>
        <w:rPr>
          <w:rFonts w:ascii="Arial" w:hAnsi="Arial" w:cs="Arial"/>
          <w:color w:val="FF0000"/>
        </w:rPr>
      </w:pPr>
      <w:r w:rsidRPr="00CB1B7C">
        <w:rPr>
          <w:rFonts w:ascii="Arial" w:hAnsi="Arial" w:cs="Arial"/>
          <w:bCs/>
        </w:rPr>
        <w:t xml:space="preserve">Emenda </w:t>
      </w:r>
      <w:r w:rsidR="004A78F7">
        <w:rPr>
          <w:rFonts w:ascii="Arial" w:hAnsi="Arial" w:cs="Arial"/>
          <w:bCs/>
        </w:rPr>
        <w:t xml:space="preserve">Supressiva </w:t>
      </w:r>
      <w:r w:rsidRPr="00CB1B7C">
        <w:rPr>
          <w:rFonts w:ascii="Arial" w:hAnsi="Arial" w:cs="Arial"/>
          <w:bCs/>
        </w:rPr>
        <w:t>n.º 0</w:t>
      </w:r>
      <w:r w:rsidR="004A78F7">
        <w:rPr>
          <w:rFonts w:ascii="Arial" w:hAnsi="Arial" w:cs="Arial"/>
          <w:bCs/>
        </w:rPr>
        <w:t>1</w:t>
      </w:r>
      <w:r w:rsidRPr="00CB1B7C">
        <w:rPr>
          <w:rFonts w:ascii="Arial" w:hAnsi="Arial" w:cs="Arial"/>
          <w:bCs/>
        </w:rPr>
        <w:t xml:space="preserve"> </w:t>
      </w:r>
      <w:r w:rsidR="00F51008" w:rsidRPr="00CB1B7C">
        <w:rPr>
          <w:rFonts w:ascii="Arial" w:hAnsi="Arial" w:cs="Arial"/>
          <w:bCs/>
        </w:rPr>
        <w:t>ao Substitutivo n.º 01 ao</w:t>
      </w:r>
      <w:r w:rsidR="00F51008" w:rsidRPr="00CB1B7C">
        <w:rPr>
          <w:rFonts w:ascii="Arial" w:hAnsi="Arial" w:cs="Arial"/>
          <w:b/>
          <w:bCs/>
        </w:rPr>
        <w:t xml:space="preserve"> </w:t>
      </w:r>
      <w:r w:rsidR="00F51008" w:rsidRPr="00CB1B7C">
        <w:rPr>
          <w:rFonts w:ascii="Arial" w:hAnsi="Arial" w:cs="Arial"/>
        </w:rPr>
        <w:t>Projeto de Lei Ordinária nº 321/2019 – Renomeia cargos comissionados da estrutura da Administração Direta do Município de Sete Lagoas e dá outras providências.</w:t>
      </w:r>
    </w:p>
    <w:p w:rsidR="00E07492" w:rsidRDefault="00E07492" w:rsidP="00F51008">
      <w:pPr>
        <w:jc w:val="both"/>
        <w:rPr>
          <w:rFonts w:ascii="Arial" w:hAnsi="Arial" w:cs="Arial"/>
          <w:bCs/>
        </w:rPr>
      </w:pPr>
    </w:p>
    <w:p w:rsidR="00F51008" w:rsidRDefault="00F51008" w:rsidP="00F51008">
      <w:pPr>
        <w:jc w:val="both"/>
        <w:rPr>
          <w:rFonts w:ascii="Arial" w:hAnsi="Arial" w:cs="Arial"/>
          <w:b/>
          <w:bCs/>
        </w:rPr>
      </w:pPr>
    </w:p>
    <w:p w:rsidR="00732757" w:rsidRPr="00CB1B7C" w:rsidRDefault="00F51008" w:rsidP="00CF65AB">
      <w:pPr>
        <w:jc w:val="both"/>
        <w:rPr>
          <w:rFonts w:ascii="Arial" w:hAnsi="Arial" w:cs="Arial"/>
          <w:color w:val="FF0000"/>
        </w:rPr>
      </w:pPr>
      <w:r w:rsidRPr="00CB1B7C">
        <w:rPr>
          <w:rFonts w:ascii="Arial" w:hAnsi="Arial" w:cs="Arial"/>
          <w:b/>
          <w:bCs/>
        </w:rPr>
        <w:t>AUTORIA</w:t>
      </w:r>
      <w:r>
        <w:rPr>
          <w:rFonts w:ascii="Arial" w:hAnsi="Arial" w:cs="Arial"/>
          <w:b/>
          <w:bCs/>
        </w:rPr>
        <w:t xml:space="preserve">: </w:t>
      </w:r>
      <w:r>
        <w:rPr>
          <w:rFonts w:ascii="Arial" w:hAnsi="Arial" w:cs="Arial"/>
          <w:bCs/>
        </w:rPr>
        <w:t xml:space="preserve">Vereador </w:t>
      </w:r>
      <w:r w:rsidR="004A78F7">
        <w:rPr>
          <w:rFonts w:ascii="Arial" w:hAnsi="Arial" w:cs="Arial"/>
          <w:bCs/>
        </w:rPr>
        <w:t>Milton Maurício Martins e Vereador Rodrigo Braga da Rocha</w:t>
      </w:r>
    </w:p>
    <w:p w:rsidR="00085DC8" w:rsidRPr="00CB1B7C" w:rsidRDefault="00085DC8" w:rsidP="00085DC8">
      <w:pPr>
        <w:pBdr>
          <w:bottom w:val="single" w:sz="8" w:space="2" w:color="000000"/>
        </w:pBdr>
        <w:ind w:firstLine="2268"/>
        <w:rPr>
          <w:rFonts w:ascii="Arial" w:hAnsi="Arial" w:cs="Arial"/>
        </w:rPr>
      </w:pPr>
    </w:p>
    <w:p w:rsidR="00085DC8" w:rsidRPr="00CB1B7C" w:rsidRDefault="00085DC8" w:rsidP="00085DC8">
      <w:pPr>
        <w:ind w:firstLine="2268"/>
        <w:rPr>
          <w:rFonts w:ascii="Arial" w:hAnsi="Arial" w:cs="Arial"/>
        </w:rPr>
      </w:pPr>
    </w:p>
    <w:p w:rsidR="00085DC8" w:rsidRPr="00CB1B7C" w:rsidRDefault="00085DC8" w:rsidP="00085DC8">
      <w:pPr>
        <w:ind w:firstLine="2268"/>
        <w:jc w:val="both"/>
        <w:rPr>
          <w:rFonts w:ascii="Arial" w:hAnsi="Arial" w:cs="Arial"/>
        </w:rPr>
      </w:pPr>
      <w:r w:rsidRPr="00CB1B7C">
        <w:rPr>
          <w:rFonts w:ascii="Arial" w:hAnsi="Arial" w:cs="Arial"/>
          <w:u w:val="single"/>
        </w:rPr>
        <w:t>Relatório</w:t>
      </w:r>
      <w:proofErr w:type="gramStart"/>
      <w:r w:rsidRPr="00CB1B7C">
        <w:rPr>
          <w:rFonts w:ascii="Arial" w:hAnsi="Arial" w:cs="Arial"/>
        </w:rPr>
        <w:t xml:space="preserve">  </w:t>
      </w:r>
    </w:p>
    <w:p w:rsidR="00085DC8" w:rsidRPr="00CB1B7C" w:rsidRDefault="00085DC8" w:rsidP="00085DC8">
      <w:pPr>
        <w:ind w:firstLine="2268"/>
        <w:jc w:val="both"/>
        <w:rPr>
          <w:rFonts w:ascii="Arial" w:hAnsi="Arial" w:cs="Arial"/>
        </w:rPr>
      </w:pPr>
      <w:proofErr w:type="gramEnd"/>
    </w:p>
    <w:p w:rsidR="00085DC8" w:rsidRPr="00CB1B7C" w:rsidRDefault="00085DC8" w:rsidP="00085DC8">
      <w:pPr>
        <w:ind w:firstLine="2268"/>
        <w:jc w:val="both"/>
        <w:rPr>
          <w:rFonts w:ascii="Arial" w:hAnsi="Arial" w:cs="Arial"/>
        </w:rPr>
      </w:pPr>
      <w:r w:rsidRPr="00CB1B7C">
        <w:rPr>
          <w:rFonts w:ascii="Arial" w:hAnsi="Arial" w:cs="Arial"/>
        </w:rPr>
        <w:t>A proposiç</w:t>
      </w:r>
      <w:r w:rsidR="00F51008">
        <w:rPr>
          <w:rFonts w:ascii="Arial" w:hAnsi="Arial" w:cs="Arial"/>
        </w:rPr>
        <w:t>ão</w:t>
      </w:r>
      <w:r w:rsidRPr="00CB1B7C">
        <w:rPr>
          <w:rFonts w:ascii="Arial" w:hAnsi="Arial" w:cs="Arial"/>
        </w:rPr>
        <w:t xml:space="preserve"> ora apreciada, subscrita pelo</w:t>
      </w:r>
      <w:r w:rsidR="004A78F7">
        <w:rPr>
          <w:rFonts w:ascii="Arial" w:hAnsi="Arial" w:cs="Arial"/>
        </w:rPr>
        <w:t>s</w:t>
      </w:r>
      <w:r w:rsidR="00E07492" w:rsidRPr="00CB1B7C">
        <w:rPr>
          <w:rFonts w:ascii="Arial" w:hAnsi="Arial" w:cs="Arial"/>
        </w:rPr>
        <w:t xml:space="preserve"> Edi</w:t>
      </w:r>
      <w:r w:rsidR="004A78F7">
        <w:rPr>
          <w:rFonts w:ascii="Arial" w:hAnsi="Arial" w:cs="Arial"/>
        </w:rPr>
        <w:t>s</w:t>
      </w:r>
      <w:r w:rsidR="00F51008">
        <w:rPr>
          <w:rFonts w:ascii="Arial" w:hAnsi="Arial" w:cs="Arial"/>
        </w:rPr>
        <w:t xml:space="preserve"> acima referenciado</w:t>
      </w:r>
      <w:r w:rsidR="004A78F7">
        <w:rPr>
          <w:rFonts w:ascii="Arial" w:hAnsi="Arial" w:cs="Arial"/>
        </w:rPr>
        <w:t>s</w:t>
      </w:r>
      <w:r w:rsidR="00F51008">
        <w:rPr>
          <w:rFonts w:ascii="Arial" w:hAnsi="Arial" w:cs="Arial"/>
        </w:rPr>
        <w:t xml:space="preserve"> </w:t>
      </w:r>
      <w:r w:rsidR="00E07492" w:rsidRPr="00CB1B7C">
        <w:rPr>
          <w:rFonts w:ascii="Arial" w:hAnsi="Arial" w:cs="Arial"/>
        </w:rPr>
        <w:t xml:space="preserve">visa </w:t>
      </w:r>
      <w:r w:rsidR="004A78F7">
        <w:rPr>
          <w:rFonts w:ascii="Arial" w:hAnsi="Arial" w:cs="Arial"/>
        </w:rPr>
        <w:t>suprimir</w:t>
      </w:r>
      <w:r w:rsidR="007702E5">
        <w:rPr>
          <w:rFonts w:ascii="Arial" w:hAnsi="Arial" w:cs="Arial"/>
        </w:rPr>
        <w:t xml:space="preserve"> o</w:t>
      </w:r>
      <w:r w:rsidR="00E23576">
        <w:rPr>
          <w:rFonts w:ascii="Arial" w:hAnsi="Arial" w:cs="Arial"/>
        </w:rPr>
        <w:t>s</w:t>
      </w:r>
      <w:r w:rsidR="007702E5">
        <w:rPr>
          <w:rFonts w:ascii="Arial" w:hAnsi="Arial" w:cs="Arial"/>
        </w:rPr>
        <w:t xml:space="preserve"> inciso</w:t>
      </w:r>
      <w:r w:rsidR="00E23576">
        <w:rPr>
          <w:rFonts w:ascii="Arial" w:hAnsi="Arial" w:cs="Arial"/>
        </w:rPr>
        <w:t>s</w:t>
      </w:r>
      <w:r w:rsidR="007702E5">
        <w:rPr>
          <w:rFonts w:ascii="Arial" w:hAnsi="Arial" w:cs="Arial"/>
        </w:rPr>
        <w:t xml:space="preserve"> </w:t>
      </w:r>
      <w:r w:rsidR="00E23576">
        <w:rPr>
          <w:rFonts w:ascii="Arial" w:hAnsi="Arial" w:cs="Arial"/>
        </w:rPr>
        <w:t>I e II</w:t>
      </w:r>
      <w:r w:rsidR="007702E5">
        <w:rPr>
          <w:rFonts w:ascii="Arial" w:hAnsi="Arial" w:cs="Arial"/>
        </w:rPr>
        <w:t xml:space="preserve"> do </w:t>
      </w:r>
      <w:r w:rsidR="007563F3">
        <w:rPr>
          <w:rFonts w:ascii="Arial" w:hAnsi="Arial" w:cs="Arial"/>
        </w:rPr>
        <w:t xml:space="preserve">anexo único da proposição </w:t>
      </w:r>
      <w:r w:rsidR="007702E5">
        <w:rPr>
          <w:rFonts w:ascii="Arial" w:hAnsi="Arial" w:cs="Arial"/>
        </w:rPr>
        <w:t xml:space="preserve">e assim impedir a extinção do cargo de Secretário Municipal de </w:t>
      </w:r>
      <w:r w:rsidR="00E23576">
        <w:rPr>
          <w:rFonts w:ascii="Arial" w:hAnsi="Arial" w:cs="Arial"/>
        </w:rPr>
        <w:t xml:space="preserve">Esportes e Lazer, bem como a </w:t>
      </w:r>
      <w:r w:rsidR="007563F3">
        <w:rPr>
          <w:rFonts w:ascii="Arial" w:hAnsi="Arial" w:cs="Arial"/>
        </w:rPr>
        <w:t xml:space="preserve">fusão de secretarias de Educação com a de </w:t>
      </w:r>
      <w:r w:rsidR="00E23576">
        <w:rPr>
          <w:rFonts w:ascii="Arial" w:hAnsi="Arial" w:cs="Arial"/>
        </w:rPr>
        <w:t xml:space="preserve">Cultura e Juventude </w:t>
      </w:r>
      <w:r w:rsidR="007563F3">
        <w:rPr>
          <w:rFonts w:ascii="Arial" w:hAnsi="Arial" w:cs="Arial"/>
        </w:rPr>
        <w:t>e ainda com a de Esportes e Lazer</w:t>
      </w:r>
      <w:r w:rsidR="00E23576">
        <w:rPr>
          <w:rFonts w:ascii="Arial" w:hAnsi="Arial" w:cs="Arial"/>
        </w:rPr>
        <w:t xml:space="preserve">, </w:t>
      </w:r>
      <w:r w:rsidR="007702E5">
        <w:rPr>
          <w:rFonts w:ascii="Arial" w:hAnsi="Arial" w:cs="Arial"/>
        </w:rPr>
        <w:t xml:space="preserve">alterando assim </w:t>
      </w:r>
      <w:r w:rsidR="00E07492" w:rsidRPr="00CB1B7C">
        <w:rPr>
          <w:rFonts w:ascii="Arial" w:hAnsi="Arial" w:cs="Arial"/>
        </w:rPr>
        <w:t xml:space="preserve">o projeto de lei do </w:t>
      </w:r>
      <w:r w:rsidRPr="00CB1B7C">
        <w:rPr>
          <w:rFonts w:ascii="Arial" w:hAnsi="Arial" w:cs="Arial"/>
        </w:rPr>
        <w:t xml:space="preserve">Chefe do Poder Executivo Municipal, </w:t>
      </w:r>
      <w:r w:rsidR="00E07492" w:rsidRPr="00CB1B7C">
        <w:rPr>
          <w:rFonts w:ascii="Arial" w:hAnsi="Arial" w:cs="Arial"/>
        </w:rPr>
        <w:t>que</w:t>
      </w:r>
      <w:r w:rsidR="007702E5">
        <w:rPr>
          <w:rFonts w:ascii="Arial" w:hAnsi="Arial" w:cs="Arial"/>
        </w:rPr>
        <w:t xml:space="preserve">, por sua vez, </w:t>
      </w:r>
      <w:r w:rsidR="00E07492" w:rsidRPr="00CB1B7C">
        <w:rPr>
          <w:rFonts w:ascii="Arial" w:hAnsi="Arial" w:cs="Arial"/>
        </w:rPr>
        <w:t xml:space="preserve">visa alterar a estrutura organizacional </w:t>
      </w:r>
      <w:r w:rsidR="00CF65AB" w:rsidRPr="00CB1B7C">
        <w:rPr>
          <w:rFonts w:ascii="Arial" w:hAnsi="Arial" w:cs="Arial"/>
        </w:rPr>
        <w:t xml:space="preserve">da Administração Direta do Município de Sete Lagoas, bem como alterar forma de computo da remuneração de servidores efetivos lotados em cargos comissionados e por fim conceder a incorporação de </w:t>
      </w:r>
      <w:proofErr w:type="gramStart"/>
      <w:r w:rsidR="00CF65AB" w:rsidRPr="00CB1B7C">
        <w:rPr>
          <w:rFonts w:ascii="Arial" w:hAnsi="Arial" w:cs="Arial"/>
        </w:rPr>
        <w:t>abonos</w:t>
      </w:r>
      <w:proofErr w:type="gramEnd"/>
      <w:r w:rsidR="00CF65AB" w:rsidRPr="00CB1B7C">
        <w:rPr>
          <w:rFonts w:ascii="Arial" w:hAnsi="Arial" w:cs="Arial"/>
        </w:rPr>
        <w:t xml:space="preserve"> </w:t>
      </w:r>
      <w:proofErr w:type="gramStart"/>
      <w:r w:rsidR="00CF65AB" w:rsidRPr="00CB1B7C">
        <w:rPr>
          <w:rFonts w:ascii="Arial" w:hAnsi="Arial" w:cs="Arial"/>
        </w:rPr>
        <w:t>concedidos</w:t>
      </w:r>
      <w:proofErr w:type="gramEnd"/>
      <w:r w:rsidR="00CF65AB" w:rsidRPr="00CB1B7C">
        <w:rPr>
          <w:rFonts w:ascii="Arial" w:hAnsi="Arial" w:cs="Arial"/>
        </w:rPr>
        <w:t xml:space="preserve"> em 2018 e 2019 ao vencimento dos servidores que possuem vencimento abaixo do salário mínimo e dá outras providências.</w:t>
      </w:r>
    </w:p>
    <w:p w:rsidR="00D055E5" w:rsidRPr="00CB1B7C" w:rsidRDefault="00D055E5" w:rsidP="0092272F">
      <w:pPr>
        <w:ind w:firstLine="2268"/>
        <w:jc w:val="both"/>
        <w:rPr>
          <w:rFonts w:ascii="Arial" w:hAnsi="Arial" w:cs="Arial"/>
        </w:rPr>
      </w:pPr>
    </w:p>
    <w:p w:rsidR="00B22F7A" w:rsidRPr="00CB1B7C" w:rsidRDefault="00B22F7A" w:rsidP="00B22F7A">
      <w:pPr>
        <w:ind w:firstLine="2295"/>
        <w:jc w:val="both"/>
        <w:rPr>
          <w:rFonts w:ascii="Arial" w:hAnsi="Arial" w:cs="Arial"/>
        </w:rPr>
      </w:pPr>
      <w:r w:rsidRPr="00CB1B7C">
        <w:rPr>
          <w:rFonts w:ascii="Arial" w:hAnsi="Arial" w:cs="Arial"/>
        </w:rPr>
        <w:t>A proposição foi distribuída em data anterior a presente reunião, tendo sido debatida em outras sessões da Comissão de Legislação e Justiça, estando agora apta, para receber parecer respectivamente quanto aos aspectos de sua juridicidade, constitucionalidade e legalidade, bem como quanto a sua adequação orçamentária e financeira, e por fim quanto ao seu mérito, nos termos do disposto no art. 69 c/c art. 83 §1º e art. 108 do Regimento Interno.</w:t>
      </w:r>
    </w:p>
    <w:p w:rsidR="00B22F7A" w:rsidRPr="00CB1B7C" w:rsidRDefault="00B22F7A"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 xml:space="preserve">Presentes à reunião: </w:t>
      </w:r>
    </w:p>
    <w:p w:rsidR="00420DBE" w:rsidRPr="00CB1B7C" w:rsidRDefault="00420DBE"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proofErr w:type="gramStart"/>
      <w:r w:rsidRPr="00CB1B7C">
        <w:rPr>
          <w:rFonts w:ascii="Arial" w:hAnsi="Arial" w:cs="Arial"/>
        </w:rPr>
        <w:t>a</w:t>
      </w:r>
      <w:proofErr w:type="gramEnd"/>
      <w:r w:rsidRPr="00CB1B7C">
        <w:rPr>
          <w:rFonts w:ascii="Arial" w:hAnsi="Arial" w:cs="Arial"/>
        </w:rPr>
        <w:t>)</w:t>
      </w:r>
      <w:r w:rsidRPr="00CB1B7C">
        <w:rPr>
          <w:rFonts w:ascii="Arial" w:hAnsi="Arial" w:cs="Arial"/>
        </w:rPr>
        <w:tab/>
        <w:t xml:space="preserve">Pela Comissão de Legislação e Justiça, os vereadores: </w:t>
      </w:r>
      <w:r w:rsidR="00AE33B0" w:rsidRPr="00CB1B7C">
        <w:rPr>
          <w:rFonts w:ascii="Arial" w:hAnsi="Arial" w:cs="Arial"/>
        </w:rPr>
        <w:t>Marli, Aparecida Barbosa</w:t>
      </w:r>
      <w:r w:rsidRPr="00CB1B7C">
        <w:rPr>
          <w:rFonts w:ascii="Arial" w:hAnsi="Arial" w:cs="Arial"/>
        </w:rPr>
        <w:t xml:space="preserve"> (presidente), Euro de Andrade Lanza (relator) e José Pereira da Silva (vogal).</w:t>
      </w:r>
    </w:p>
    <w:p w:rsidR="00186E40" w:rsidRPr="00CB1B7C" w:rsidRDefault="00186E40"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Além destes estiveram presentes, a Procuradora-Geral do Legislativo, o Consultor Jurídico, a Subprocuradora, procuradores do legislativo, assessores jurídicos de gabinetes e munícipes.</w:t>
      </w:r>
    </w:p>
    <w:p w:rsidR="008F7C37" w:rsidRDefault="008F7C37" w:rsidP="0092272F">
      <w:pPr>
        <w:ind w:firstLine="2268"/>
        <w:jc w:val="both"/>
        <w:rPr>
          <w:rFonts w:ascii="Arial" w:hAnsi="Arial" w:cs="Arial"/>
        </w:rPr>
      </w:pPr>
    </w:p>
    <w:p w:rsidR="00884E7B" w:rsidRPr="00CB1B7C" w:rsidRDefault="00884E7B" w:rsidP="0092272F">
      <w:pPr>
        <w:ind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Fundamentação</w:t>
      </w:r>
    </w:p>
    <w:p w:rsidR="00577AA5" w:rsidRPr="00CB1B7C" w:rsidRDefault="00577AA5" w:rsidP="0092272F">
      <w:pPr>
        <w:ind w:firstLine="2268"/>
        <w:jc w:val="both"/>
        <w:rPr>
          <w:rFonts w:ascii="Arial" w:hAnsi="Arial" w:cs="Arial"/>
          <w:u w:val="single"/>
        </w:rPr>
      </w:pPr>
    </w:p>
    <w:p w:rsidR="001F56FA" w:rsidRPr="00CB1B7C" w:rsidRDefault="001F56FA" w:rsidP="004C542B">
      <w:pPr>
        <w:ind w:firstLine="2268"/>
        <w:jc w:val="both"/>
        <w:rPr>
          <w:rFonts w:ascii="Arial" w:hAnsi="Arial" w:cs="Arial"/>
        </w:rPr>
      </w:pPr>
      <w:r w:rsidRPr="00CB1B7C">
        <w:rPr>
          <w:rFonts w:ascii="Arial" w:hAnsi="Arial" w:cs="Arial"/>
        </w:rPr>
        <w:t>Inicialmente temos que o tema é tratado no art. 61 e 63 da Constituição Federal:</w:t>
      </w:r>
    </w:p>
    <w:p w:rsidR="001F56FA" w:rsidRPr="00CB1B7C" w:rsidRDefault="001F56FA" w:rsidP="004C542B">
      <w:pPr>
        <w:ind w:firstLine="2268"/>
        <w:jc w:val="both"/>
        <w:rPr>
          <w:rFonts w:ascii="Arial" w:hAnsi="Arial" w:cs="Arial"/>
        </w:rPr>
      </w:pP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r w:rsidRPr="00CB1B7C">
        <w:rPr>
          <w:rFonts w:ascii="Arial" w:hAnsi="Arial" w:cs="Arial"/>
          <w:color w:val="000000"/>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 w:name="art61§1"/>
      <w:bookmarkEnd w:id="1"/>
      <w:r w:rsidRPr="00CB1B7C">
        <w:rPr>
          <w:rFonts w:ascii="Arial" w:hAnsi="Arial" w:cs="Arial"/>
          <w:color w:val="000000"/>
          <w:sz w:val="20"/>
          <w:szCs w:val="20"/>
        </w:rPr>
        <w:t>§ 1º São de iniciativa privativa do Presidente da República as leis que: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61§1i"/>
      <w:bookmarkEnd w:id="2"/>
      <w:r w:rsidRPr="00CB1B7C">
        <w:rPr>
          <w:rFonts w:ascii="Arial" w:hAnsi="Arial" w:cs="Arial"/>
          <w:color w:val="000000"/>
          <w:sz w:val="20"/>
          <w:szCs w:val="20"/>
        </w:rPr>
        <w:t>I - fixem ou modifiquem os efetivos das Forças Armadas;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3" w:name="61§1II"/>
      <w:bookmarkEnd w:id="3"/>
      <w:r w:rsidRPr="00CB1B7C">
        <w:rPr>
          <w:rFonts w:ascii="Arial" w:hAnsi="Arial" w:cs="Arial"/>
          <w:b/>
          <w:color w:val="000000"/>
          <w:sz w:val="20"/>
          <w:szCs w:val="20"/>
          <w:u w:val="single"/>
        </w:rPr>
        <w:t>II - disponham sobre: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61§1IIA"/>
      <w:bookmarkEnd w:id="4"/>
      <w:r w:rsidRPr="00CB1B7C">
        <w:rPr>
          <w:rFonts w:ascii="Arial" w:hAnsi="Arial" w:cs="Arial"/>
          <w:b/>
          <w:color w:val="000000"/>
          <w:sz w:val="20"/>
          <w:szCs w:val="20"/>
          <w:u w:val="single"/>
        </w:rPr>
        <w:t>a) criação de cargos, funções ou empregos públicos na administração direta e autárquica ou aumento de sua remuneração</w:t>
      </w:r>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5" w:name="art61§1iib"/>
      <w:bookmarkEnd w:id="5"/>
      <w:r w:rsidRPr="00CB1B7C">
        <w:rPr>
          <w:rFonts w:ascii="Arial" w:hAnsi="Arial" w:cs="Arial"/>
          <w:color w:val="000000"/>
          <w:sz w:val="20"/>
          <w:szCs w:val="20"/>
        </w:rPr>
        <w:t xml:space="preserve">b) organização administrativa e judiciária, matéria tributária e orçamentária, serviços </w:t>
      </w:r>
      <w:proofErr w:type="gramStart"/>
      <w:r w:rsidRPr="00CB1B7C">
        <w:rPr>
          <w:rFonts w:ascii="Arial" w:hAnsi="Arial" w:cs="Arial"/>
          <w:color w:val="000000"/>
          <w:sz w:val="20"/>
          <w:szCs w:val="20"/>
        </w:rPr>
        <w:t>públicos e pessoal da administração dos Territórios</w:t>
      </w:r>
      <w:proofErr w:type="gramEnd"/>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61§1iic."/>
      <w:bookmarkEnd w:id="6"/>
      <w:r w:rsidRPr="00CB1B7C">
        <w:rPr>
          <w:rFonts w:ascii="Arial" w:hAnsi="Arial" w:cs="Arial"/>
          <w:strike/>
          <w:color w:val="000000"/>
          <w:sz w:val="20"/>
          <w:szCs w:val="20"/>
        </w:rPr>
        <w:t>c) servidores públicos da União e Territórios, seu regime jurídico, provimento de cargos, estabilidade e aposentadoria de civis, reforma e transferência de militares para a inatividade;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7" w:name="art61§1iic"/>
      <w:bookmarkEnd w:id="7"/>
      <w:r w:rsidRPr="00CB1B7C">
        <w:rPr>
          <w:rFonts w:ascii="Arial" w:hAnsi="Arial" w:cs="Arial"/>
          <w:color w:val="000000"/>
          <w:sz w:val="20"/>
          <w:szCs w:val="20"/>
        </w:rPr>
        <w:t>c) servidores públicos da União e Territórios, seu regime jurídico, provimento de cargos, estabilidade e aposentadoria;            </w:t>
      </w:r>
      <w:proofErr w:type="gramStart"/>
      <w:r w:rsidRPr="00CB1B7C">
        <w:rPr>
          <w:rFonts w:ascii="Arial" w:hAnsi="Arial" w:cs="Arial"/>
          <w:color w:val="000000"/>
          <w:sz w:val="20"/>
          <w:szCs w:val="20"/>
        </w:rPr>
        <w:t xml:space="preserve">  </w:t>
      </w:r>
      <w:proofErr w:type="gramEnd"/>
      <w:r w:rsidRPr="00CB1B7C">
        <w:rPr>
          <w:rFonts w:ascii="Arial" w:hAnsi="Arial" w:cs="Arial"/>
          <w:color w:val="000000"/>
          <w:sz w:val="20"/>
          <w:szCs w:val="20"/>
        </w:rPr>
        <w:t> </w:t>
      </w:r>
      <w:hyperlink r:id="rId9" w:anchor="art3" w:history="1">
        <w:r w:rsidRPr="00CB1B7C">
          <w:rPr>
            <w:rStyle w:val="Hyperlink"/>
            <w:rFonts w:ascii="Arial" w:eastAsia="DejaVu Sans" w:hAnsi="Arial" w:cs="Arial"/>
            <w:sz w:val="20"/>
            <w:szCs w:val="20"/>
          </w:rPr>
          <w:t>(Redação dada pela Emenda Constitucional nº 18, de 1998)</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8" w:name="art61§1iid"/>
      <w:bookmarkEnd w:id="8"/>
      <w:r w:rsidRPr="00CB1B7C">
        <w:rPr>
          <w:rFonts w:ascii="Arial" w:hAnsi="Arial" w:cs="Arial"/>
          <w:color w:val="000000"/>
          <w:sz w:val="20"/>
          <w:szCs w:val="20"/>
        </w:rPr>
        <w:t>d) organização do Ministério Público e da Defensoria Pública da União, bem como normas gerais para a organização do Ministério Público e da Defensoria Pública dos Estados, do Distrito Federal e dos Territórios;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9" w:name="165§1IIE"/>
      <w:bookmarkEnd w:id="9"/>
      <w:r w:rsidRPr="00CB1B7C">
        <w:rPr>
          <w:rFonts w:ascii="Arial" w:hAnsi="Arial" w:cs="Arial"/>
          <w:strike/>
          <w:color w:val="000000"/>
          <w:sz w:val="20"/>
          <w:szCs w:val="20"/>
        </w:rPr>
        <w:t>e) criação, estruturação e atribuições dos Ministérios e órgãos da administração pública;</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10" w:name="art61§1iie"/>
      <w:bookmarkEnd w:id="10"/>
      <w:r w:rsidRPr="00CB1B7C">
        <w:rPr>
          <w:rFonts w:ascii="Arial" w:hAnsi="Arial" w:cs="Arial"/>
          <w:b/>
          <w:color w:val="000000"/>
          <w:sz w:val="20"/>
          <w:szCs w:val="20"/>
          <w:u w:val="single"/>
        </w:rPr>
        <w:t xml:space="preserve">e) criação e extinção de Ministérios e órgãos da administração pública, observado o disposto no art. 84, </w:t>
      </w:r>
      <w:proofErr w:type="gramStart"/>
      <w:r w:rsidRPr="00CB1B7C">
        <w:rPr>
          <w:rFonts w:ascii="Arial" w:hAnsi="Arial" w:cs="Arial"/>
          <w:b/>
          <w:color w:val="000000"/>
          <w:sz w:val="20"/>
          <w:szCs w:val="20"/>
          <w:u w:val="single"/>
        </w:rPr>
        <w:t>VI</w:t>
      </w:r>
      <w:proofErr w:type="gramEnd"/>
      <w:r w:rsidRPr="00CB1B7C">
        <w:rPr>
          <w:rFonts w:ascii="Arial" w:hAnsi="Arial" w:cs="Arial"/>
          <w:b/>
          <w:color w:val="000000"/>
          <w:sz w:val="20"/>
          <w:szCs w:val="20"/>
          <w:u w:val="single"/>
        </w:rPr>
        <w:t>;             </w:t>
      </w:r>
      <w:hyperlink r:id="rId10" w:anchor="art1" w:history="1">
        <w:r w:rsidRPr="00CB1B7C">
          <w:rPr>
            <w:rStyle w:val="Hyperlink"/>
            <w:rFonts w:ascii="Arial" w:eastAsia="DejaVu Sans" w:hAnsi="Arial" w:cs="Arial"/>
            <w:b/>
            <w:sz w:val="20"/>
            <w:szCs w:val="20"/>
          </w:rPr>
          <w:t>(Redação dada pela Emenda Constitucional nº 32, de 2001)</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1" w:name="art61§1iif"/>
      <w:bookmarkEnd w:id="11"/>
      <w:r w:rsidRPr="00CB1B7C">
        <w:rPr>
          <w:rFonts w:ascii="Arial" w:hAnsi="Arial" w:cs="Arial"/>
          <w:color w:val="000000"/>
          <w:sz w:val="20"/>
          <w:szCs w:val="20"/>
        </w:rPr>
        <w:t>f) militares das Forças Armadas, seu regime jurídico, provimento de cargos, promoções, estabilidade, remuneração, reforma e transferência para a reserva.      (Original sem grifo).</w:t>
      </w:r>
    </w:p>
    <w:p w:rsidR="00C16B7B" w:rsidRDefault="00C16B7B" w:rsidP="00CB1B7C">
      <w:pPr>
        <w:widowControl/>
        <w:shd w:val="clear" w:color="auto" w:fill="FFFFFF"/>
        <w:suppressAutoHyphens w:val="0"/>
        <w:ind w:left="2268"/>
        <w:jc w:val="both"/>
        <w:rPr>
          <w:rFonts w:ascii="Arial" w:eastAsia="Times New Roman" w:hAnsi="Arial" w:cs="Arial"/>
          <w:color w:val="000000"/>
          <w:kern w:val="0"/>
          <w:sz w:val="20"/>
          <w:szCs w:val="20"/>
        </w:rPr>
      </w:pP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r w:rsidRPr="001F56FA">
        <w:rPr>
          <w:rFonts w:ascii="Arial" w:eastAsia="Times New Roman" w:hAnsi="Arial" w:cs="Arial"/>
          <w:color w:val="000000"/>
          <w:kern w:val="0"/>
          <w:sz w:val="20"/>
          <w:szCs w:val="20"/>
        </w:rPr>
        <w:t>Art. 63. Não será admitido aumento da despesa prevista:</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2" w:name="63I"/>
      <w:bookmarkEnd w:id="12"/>
      <w:r w:rsidRPr="001F56FA">
        <w:rPr>
          <w:rFonts w:ascii="Arial" w:eastAsia="Times New Roman" w:hAnsi="Arial" w:cs="Arial"/>
          <w:color w:val="000000"/>
          <w:kern w:val="0"/>
          <w:sz w:val="20"/>
          <w:szCs w:val="20"/>
        </w:rPr>
        <w:t>I - nos projetos de iniciativa exclusiva do Presidente da República, ressalvado o disposto no art. 166, § 3º e § 4º;</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3" w:name="63II"/>
      <w:bookmarkEnd w:id="13"/>
      <w:r w:rsidRPr="001F56FA">
        <w:rPr>
          <w:rFonts w:ascii="Arial" w:eastAsia="Times New Roman" w:hAnsi="Arial" w:cs="Arial"/>
          <w:color w:val="000000"/>
          <w:kern w:val="0"/>
          <w:sz w:val="20"/>
          <w:szCs w:val="20"/>
        </w:rPr>
        <w:t>II - nos projetos sobre organização dos serviços administrativos da Câmara dos Deputados, do Senado Federal, dos Tribunais Federais e do Ministério Público.</w:t>
      </w:r>
    </w:p>
    <w:p w:rsidR="00CB1B7C" w:rsidRDefault="00CB1B7C" w:rsidP="004C542B">
      <w:pPr>
        <w:ind w:firstLine="2268"/>
        <w:jc w:val="both"/>
        <w:rPr>
          <w:rFonts w:ascii="Arial" w:hAnsi="Arial" w:cs="Arial"/>
        </w:rPr>
      </w:pPr>
    </w:p>
    <w:p w:rsidR="001F56FA" w:rsidRPr="00CB1B7C" w:rsidRDefault="003E2450" w:rsidP="004C542B">
      <w:pPr>
        <w:ind w:firstLine="2268"/>
        <w:jc w:val="both"/>
        <w:rPr>
          <w:rFonts w:ascii="Arial" w:hAnsi="Arial" w:cs="Arial"/>
        </w:rPr>
      </w:pPr>
      <w:r w:rsidRPr="00CB1B7C">
        <w:rPr>
          <w:rFonts w:ascii="Arial" w:hAnsi="Arial" w:cs="Arial"/>
        </w:rPr>
        <w:t xml:space="preserve">A Lei Orgânica, cumprindo o Princípio da Simetria Constitucional, trata do tema no art. 76. Apesar </w:t>
      </w:r>
      <w:proofErr w:type="gramStart"/>
      <w:r w:rsidRPr="00CB1B7C">
        <w:rPr>
          <w:rFonts w:ascii="Arial" w:hAnsi="Arial" w:cs="Arial"/>
        </w:rPr>
        <w:t>do artigo dispor</w:t>
      </w:r>
      <w:proofErr w:type="gramEnd"/>
      <w:r w:rsidRPr="00CB1B7C">
        <w:rPr>
          <w:rFonts w:ascii="Arial" w:hAnsi="Arial" w:cs="Arial"/>
        </w:rPr>
        <w:t xml:space="preserve"> do direito tributário como matéria exclusiva o STF já possui entendimento, contrário a este, consolidado. Entretanto, no presente projeto o que deve ser analisado é a competência para criar cargos e órgãos, bem como dispor sobre organização administrativa do Poder Executivo:</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sz w:val="20"/>
        </w:rPr>
        <w:t>Art. 76 São de iniciativa privativa do Prefeito as leis que disponham sobre:</w:t>
      </w:r>
    </w:p>
    <w:p w:rsidR="003E2450" w:rsidRPr="00CB1B7C" w:rsidRDefault="003E2450" w:rsidP="003E2450">
      <w:pPr>
        <w:ind w:left="2268"/>
        <w:jc w:val="both"/>
        <w:rPr>
          <w:rFonts w:ascii="Arial" w:hAnsi="Arial" w:cs="Arial"/>
          <w:sz w:val="20"/>
        </w:rPr>
      </w:pPr>
      <w:r w:rsidRPr="00CB1B7C">
        <w:rPr>
          <w:rFonts w:ascii="Arial" w:hAnsi="Arial" w:cs="Arial"/>
          <w:sz w:val="20"/>
        </w:rPr>
        <w:t>I - criação, transformação, declaração de desnecessidade e extinção de cargos ou funções públicas da Administração direta, autárquica e fundacional, fixação e aumento da respectiva remuneração, observados os parâmetros da Lei de diretrizes orçamentárias; (Redação dada pela Emenda à Lei Orgânica nº 14/1996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II - a organização administrativa, matéria tributária e orçamentária e serviços públicos;</w:t>
      </w:r>
    </w:p>
    <w:p w:rsidR="003E2450" w:rsidRPr="00CB1B7C" w:rsidRDefault="003E2450" w:rsidP="003E2450">
      <w:pPr>
        <w:ind w:left="2268"/>
        <w:jc w:val="both"/>
        <w:rPr>
          <w:rFonts w:ascii="Arial" w:hAnsi="Arial" w:cs="Arial"/>
          <w:sz w:val="20"/>
        </w:rPr>
      </w:pPr>
      <w:r w:rsidRPr="00CB1B7C">
        <w:rPr>
          <w:rFonts w:ascii="Arial" w:hAnsi="Arial" w:cs="Arial"/>
          <w:sz w:val="20"/>
        </w:rPr>
        <w:t>III - a organização, fixação e modificação dos efetivos da Guarda Municipal;</w:t>
      </w:r>
    </w:p>
    <w:p w:rsidR="003E2450" w:rsidRPr="00CB1B7C" w:rsidRDefault="003E2450" w:rsidP="003E2450">
      <w:pPr>
        <w:ind w:left="2268"/>
        <w:jc w:val="both"/>
        <w:rPr>
          <w:rFonts w:ascii="Arial" w:hAnsi="Arial" w:cs="Arial"/>
          <w:sz w:val="20"/>
        </w:rPr>
      </w:pPr>
      <w:r w:rsidRPr="00CB1B7C">
        <w:rPr>
          <w:rFonts w:ascii="Arial" w:hAnsi="Arial" w:cs="Arial"/>
          <w:sz w:val="20"/>
        </w:rPr>
        <w:t>IV - a criação, estruturação e atribuições dos órgãos da administração pública municipal;</w:t>
      </w:r>
    </w:p>
    <w:p w:rsidR="003E2450" w:rsidRPr="00CB1B7C" w:rsidRDefault="003E2450" w:rsidP="003E2450">
      <w:pPr>
        <w:ind w:left="2268"/>
        <w:jc w:val="both"/>
        <w:rPr>
          <w:rFonts w:ascii="Arial" w:hAnsi="Arial" w:cs="Arial"/>
          <w:sz w:val="20"/>
        </w:rPr>
      </w:pPr>
      <w:r w:rsidRPr="00CB1B7C">
        <w:rPr>
          <w:rFonts w:ascii="Arial" w:hAnsi="Arial" w:cs="Arial"/>
          <w:sz w:val="20"/>
        </w:rPr>
        <w:t>V - regime jurídico dos servidores públicos dos órgãos da administração direta, autárquica e fundacional. (Redação dada pela Emenda à Lei Orgânica nº 24/2003)</w:t>
      </w:r>
    </w:p>
    <w:p w:rsidR="001F56FA" w:rsidRPr="00CB1B7C" w:rsidRDefault="001F56FA" w:rsidP="004C542B">
      <w:pPr>
        <w:ind w:firstLine="2268"/>
        <w:jc w:val="both"/>
        <w:rPr>
          <w:rFonts w:ascii="Arial" w:hAnsi="Arial" w:cs="Arial"/>
        </w:rPr>
      </w:pPr>
    </w:p>
    <w:p w:rsidR="003E2450" w:rsidRPr="00CB1B7C" w:rsidRDefault="003E2450" w:rsidP="004C542B">
      <w:pPr>
        <w:ind w:firstLine="2268"/>
        <w:jc w:val="both"/>
        <w:rPr>
          <w:rFonts w:ascii="Arial" w:hAnsi="Arial" w:cs="Arial"/>
        </w:rPr>
      </w:pPr>
      <w:r w:rsidRPr="00CB1B7C">
        <w:rPr>
          <w:rFonts w:ascii="Arial" w:hAnsi="Arial" w:cs="Arial"/>
        </w:rPr>
        <w:t xml:space="preserve">A fim de trazer luz </w:t>
      </w:r>
      <w:r w:rsidR="00C16B7B">
        <w:rPr>
          <w:rFonts w:ascii="Arial" w:hAnsi="Arial" w:cs="Arial"/>
        </w:rPr>
        <w:t>sobre</w:t>
      </w:r>
      <w:r w:rsidRPr="00CB1B7C">
        <w:rPr>
          <w:rFonts w:ascii="Arial" w:hAnsi="Arial" w:cs="Arial"/>
        </w:rPr>
        <w:t xml:space="preserve"> discussão e estabelecer as diretrizes básicas para a </w:t>
      </w:r>
      <w:r w:rsidR="00C16B7B">
        <w:rPr>
          <w:rFonts w:ascii="Arial" w:hAnsi="Arial" w:cs="Arial"/>
        </w:rPr>
        <w:t xml:space="preserve">análise da </w:t>
      </w:r>
      <w:r w:rsidRPr="00CB1B7C">
        <w:rPr>
          <w:rFonts w:ascii="Arial" w:hAnsi="Arial" w:cs="Arial"/>
        </w:rPr>
        <w:t>legalidade e constitucionalidade nas emendas parlamentares a projetos de organização administrativa do Poder Executivo, passamos a transcrever julgados do STF que, doutrinariamente, explicam os limites das emendas parlamentares neste</w:t>
      </w:r>
      <w:r w:rsidR="00C16B7B">
        <w:rPr>
          <w:rFonts w:ascii="Arial" w:hAnsi="Arial" w:cs="Arial"/>
        </w:rPr>
        <w:t>s</w:t>
      </w:r>
      <w:r w:rsidRPr="00CB1B7C">
        <w:rPr>
          <w:rFonts w:ascii="Arial" w:hAnsi="Arial" w:cs="Arial"/>
        </w:rPr>
        <w:t xml:space="preserve"> projetos de iniciativa privativa do Prefeito Municipal:</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b/>
          <w:sz w:val="20"/>
          <w:u w:val="single"/>
        </w:rPr>
      </w:pPr>
      <w:r w:rsidRPr="00CB1B7C">
        <w:rPr>
          <w:rFonts w:ascii="Arial" w:hAnsi="Arial" w:cs="Arial"/>
          <w:sz w:val="20"/>
        </w:rPr>
        <w:t xml:space="preserve">Tratando-se de projeto de lei de iniciativa privativa do chefe do Poder Executivo, não pode o Poder Legislativo assinar-lhe prazo para o exercício dessa prerrogativa sua. Não havendo aumento de despesa, o Poder Legislativo pode emendar projeto de iniciativa privativa do chefe do Poder Executivo, </w:t>
      </w:r>
      <w:r w:rsidRPr="00CB1B7C">
        <w:rPr>
          <w:rFonts w:ascii="Arial" w:hAnsi="Arial" w:cs="Arial"/>
          <w:b/>
          <w:sz w:val="20"/>
          <w:u w:val="single"/>
        </w:rPr>
        <w:t xml:space="preserve">mas esse poder não é ilimitado, não se estendendo ele a emendas que não guardem estreita pertinência com o objeto do projeto encaminhado ao Legislativo pelo Executivo e que digam respeito </w:t>
      </w:r>
      <w:proofErr w:type="gramStart"/>
      <w:r w:rsidRPr="00CB1B7C">
        <w:rPr>
          <w:rFonts w:ascii="Arial" w:hAnsi="Arial" w:cs="Arial"/>
          <w:b/>
          <w:sz w:val="20"/>
          <w:u w:val="single"/>
        </w:rPr>
        <w:t>a</w:t>
      </w:r>
      <w:proofErr w:type="gramEnd"/>
      <w:r w:rsidRPr="00CB1B7C">
        <w:rPr>
          <w:rFonts w:ascii="Arial" w:hAnsi="Arial" w:cs="Arial"/>
          <w:b/>
          <w:sz w:val="20"/>
          <w:u w:val="single"/>
        </w:rPr>
        <w:t xml:space="preserve"> matéria que também é da iniciativa privativa daquela autoridade.</w:t>
      </w:r>
    </w:p>
    <w:p w:rsidR="003E2450" w:rsidRPr="00CB1B7C" w:rsidRDefault="003E2450" w:rsidP="003E2450">
      <w:pPr>
        <w:ind w:left="2268"/>
        <w:jc w:val="both"/>
        <w:rPr>
          <w:rFonts w:ascii="Arial" w:hAnsi="Arial" w:cs="Arial"/>
          <w:sz w:val="20"/>
        </w:rPr>
      </w:pPr>
      <w:r w:rsidRPr="00CB1B7C">
        <w:rPr>
          <w:rFonts w:ascii="Arial" w:hAnsi="Arial" w:cs="Arial"/>
          <w:sz w:val="20"/>
        </w:rPr>
        <w:t>[ADI 546, rel. min. Moreira Alves, j. 11-3-1999, P, DJ de 14-4-2000.</w:t>
      </w:r>
      <w:proofErr w:type="gramStart"/>
      <w:r w:rsidRPr="00CB1B7C">
        <w:rPr>
          <w:rFonts w:ascii="Arial" w:hAnsi="Arial" w:cs="Arial"/>
          <w:sz w:val="20"/>
        </w:rPr>
        <w:t>]</w:t>
      </w:r>
      <w:proofErr w:type="gramEnd"/>
      <w:r w:rsidRPr="00CB1B7C">
        <w:rPr>
          <w:rFonts w:ascii="Arial" w:hAnsi="Arial" w:cs="Arial"/>
          <w:sz w:val="20"/>
        </w:rPr>
        <w:t xml:space="preserve">= ADI 2.305, rel. min. Cezar </w:t>
      </w:r>
      <w:proofErr w:type="spellStart"/>
      <w:r w:rsidRPr="00CB1B7C">
        <w:rPr>
          <w:rFonts w:ascii="Arial" w:hAnsi="Arial" w:cs="Arial"/>
          <w:sz w:val="20"/>
        </w:rPr>
        <w:t>Peluso</w:t>
      </w:r>
      <w:proofErr w:type="spellEnd"/>
      <w:r w:rsidRPr="00CB1B7C">
        <w:rPr>
          <w:rFonts w:ascii="Arial" w:hAnsi="Arial" w:cs="Arial"/>
          <w:sz w:val="20"/>
        </w:rPr>
        <w:t>, j. 30-6-2011, P, DJE de 5-8-2011</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b/>
          <w:sz w:val="20"/>
          <w:u w:val="single"/>
        </w:rPr>
        <w:t xml:space="preserve">Incorre em vício de inconstitucionalidade formal (CF, </w:t>
      </w:r>
      <w:proofErr w:type="spellStart"/>
      <w:r w:rsidRPr="00CB1B7C">
        <w:rPr>
          <w:rFonts w:ascii="Arial" w:hAnsi="Arial" w:cs="Arial"/>
          <w:b/>
          <w:sz w:val="20"/>
          <w:u w:val="single"/>
        </w:rPr>
        <w:t>arts</w:t>
      </w:r>
      <w:proofErr w:type="spellEnd"/>
      <w:r w:rsidRPr="00CB1B7C">
        <w:rPr>
          <w:rFonts w:ascii="Arial" w:hAnsi="Arial" w:cs="Arial"/>
          <w:b/>
          <w:sz w:val="20"/>
          <w:u w:val="single"/>
        </w:rPr>
        <w:t>. 61, § 1º, II, a e c, e 63, I) a norma jurídica decorrente de emenda parlamentar em projeto de lei de iniciativa reservada ao chefe do Poder Executivo de que resulte aumento de despesa</w:t>
      </w:r>
      <w:r w:rsidRPr="00CB1B7C">
        <w:rPr>
          <w:rFonts w:ascii="Arial" w:hAnsi="Arial" w:cs="Arial"/>
          <w:sz w:val="20"/>
        </w:rPr>
        <w:t>. Parâmetro de observância cogente pelos Estados da Federação, à luz do princípio da simetria.</w:t>
      </w:r>
    </w:p>
    <w:p w:rsidR="003E2450" w:rsidRPr="00CB1B7C" w:rsidRDefault="003E2450" w:rsidP="003E2450">
      <w:pPr>
        <w:ind w:left="2268"/>
        <w:jc w:val="both"/>
        <w:rPr>
          <w:rFonts w:ascii="Arial" w:hAnsi="Arial" w:cs="Arial"/>
          <w:sz w:val="20"/>
        </w:rPr>
      </w:pPr>
      <w:r w:rsidRPr="00CB1B7C">
        <w:rPr>
          <w:rFonts w:ascii="Arial" w:hAnsi="Arial" w:cs="Arial"/>
          <w:sz w:val="20"/>
        </w:rPr>
        <w:t>[ADI 2.079, rel. min. Maurício Corrêa, j. 29-4-2004, P, DJ de 18-6-2004.</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xml:space="preserve">= RE 745.811 RG, rel. min. Gilmar Mendes, j. 17-10-2013, P, DJE de 6-11-2013, Tema </w:t>
      </w:r>
      <w:proofErr w:type="gramStart"/>
      <w:r w:rsidRPr="00CB1B7C">
        <w:rPr>
          <w:rFonts w:ascii="Arial" w:hAnsi="Arial" w:cs="Arial"/>
          <w:sz w:val="20"/>
        </w:rPr>
        <w:t>686</w:t>
      </w:r>
      <w:proofErr w:type="gramEnd"/>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r w:rsidRPr="00CB1B7C">
        <w:rPr>
          <w:rFonts w:ascii="Arial" w:hAnsi="Arial" w:cs="Arial"/>
          <w:sz w:val="20"/>
        </w:rPr>
        <w:t xml:space="preserve">Servidor público. Extensão, por meio de emenda parlamentar, de gratificação ou vantagem prevista pelo projeto do chefe do Poder Executivo. Inconstitucionalidade. Vício formal. Reserva de iniciativa do chefe do Poder Executivo para edição de normas que alterem o padrão remuneratório dos servidores públicos. Art. 61, § 1º, II, a, da CF. Regime </w:t>
      </w:r>
      <w:proofErr w:type="gramStart"/>
      <w:r w:rsidRPr="00CB1B7C">
        <w:rPr>
          <w:rFonts w:ascii="Arial" w:hAnsi="Arial" w:cs="Arial"/>
          <w:sz w:val="20"/>
        </w:rPr>
        <w:t>Jurídico Único dos Servidores Públicos Civis da Administração Direta, das Autarquias e das Fundações Públicas do Estado do Pará</w:t>
      </w:r>
      <w:proofErr w:type="gramEnd"/>
      <w:r w:rsidRPr="00CB1B7C">
        <w:rPr>
          <w:rFonts w:ascii="Arial" w:hAnsi="Arial" w:cs="Arial"/>
          <w:sz w:val="20"/>
        </w:rPr>
        <w:t xml:space="preserve"> (Lei 5.810/1994). </w:t>
      </w:r>
      <w:proofErr w:type="spellStart"/>
      <w:r w:rsidRPr="00CB1B7C">
        <w:rPr>
          <w:rFonts w:ascii="Arial" w:hAnsi="Arial" w:cs="Arial"/>
          <w:sz w:val="20"/>
        </w:rPr>
        <w:t>Arts</w:t>
      </w:r>
      <w:proofErr w:type="spellEnd"/>
      <w:r w:rsidRPr="00CB1B7C">
        <w:rPr>
          <w:rFonts w:ascii="Arial" w:hAnsi="Arial" w:cs="Arial"/>
          <w:sz w:val="20"/>
        </w:rPr>
        <w:t>. 132,</w:t>
      </w:r>
      <w:proofErr w:type="gramStart"/>
      <w:r w:rsidRPr="00CB1B7C">
        <w:rPr>
          <w:rFonts w:ascii="Arial" w:hAnsi="Arial" w:cs="Arial"/>
          <w:sz w:val="20"/>
        </w:rPr>
        <w:t xml:space="preserve">  </w:t>
      </w:r>
      <w:proofErr w:type="gramEnd"/>
      <w:r w:rsidRPr="00CB1B7C">
        <w:rPr>
          <w:rFonts w:ascii="Arial" w:hAnsi="Arial" w:cs="Arial"/>
          <w:sz w:val="20"/>
        </w:rPr>
        <w:t xml:space="preserve">XI, e 246. Dispositivos </w:t>
      </w:r>
      <w:r w:rsidRPr="00CB1B7C">
        <w:rPr>
          <w:rFonts w:ascii="Arial" w:hAnsi="Arial" w:cs="Arial"/>
          <w:sz w:val="20"/>
        </w:rPr>
        <w:lastRenderedPageBreak/>
        <w:t xml:space="preserve">resultantes de emenda parlamentar que estenderam gratificação, inicialmente prevista apenas para os professores, a todos os servidores que atuem na área de educação especial. Inconstitucionalidade formal. </w:t>
      </w:r>
      <w:proofErr w:type="spellStart"/>
      <w:r w:rsidRPr="00CB1B7C">
        <w:rPr>
          <w:rFonts w:ascii="Arial" w:hAnsi="Arial" w:cs="Arial"/>
          <w:sz w:val="20"/>
        </w:rPr>
        <w:t>Arts</w:t>
      </w:r>
      <w:proofErr w:type="spellEnd"/>
      <w:r w:rsidRPr="00CB1B7C">
        <w:rPr>
          <w:rFonts w:ascii="Arial" w:hAnsi="Arial" w:cs="Arial"/>
          <w:sz w:val="20"/>
        </w:rPr>
        <w:t xml:space="preserve">. 2º e 63, I, da CF. Recurso extraordinário provido para declarar a inconstitucionalidade dos </w:t>
      </w:r>
      <w:proofErr w:type="spellStart"/>
      <w:r w:rsidRPr="00CB1B7C">
        <w:rPr>
          <w:rFonts w:ascii="Arial" w:hAnsi="Arial" w:cs="Arial"/>
          <w:sz w:val="20"/>
        </w:rPr>
        <w:t>arts</w:t>
      </w:r>
      <w:proofErr w:type="spellEnd"/>
      <w:r w:rsidRPr="00CB1B7C">
        <w:rPr>
          <w:rFonts w:ascii="Arial" w:hAnsi="Arial" w:cs="Arial"/>
          <w:sz w:val="20"/>
        </w:rPr>
        <w:t xml:space="preserve">. </w:t>
      </w:r>
      <w:proofErr w:type="gramStart"/>
      <w:r w:rsidRPr="00CB1B7C">
        <w:rPr>
          <w:rFonts w:ascii="Arial" w:hAnsi="Arial" w:cs="Arial"/>
          <w:sz w:val="20"/>
        </w:rPr>
        <w:t>132, XI, e 246</w:t>
      </w:r>
      <w:proofErr w:type="gramEnd"/>
      <w:r w:rsidRPr="00CB1B7C">
        <w:rPr>
          <w:rFonts w:ascii="Arial" w:hAnsi="Arial" w:cs="Arial"/>
          <w:sz w:val="20"/>
        </w:rPr>
        <w:t xml:space="preserve"> da Lei 5.810/1994, do Estado do Pará. Reafirmação de jurisprudência.</w:t>
      </w:r>
    </w:p>
    <w:p w:rsidR="003E2450" w:rsidRPr="00CB1B7C" w:rsidRDefault="003E2450" w:rsidP="003E2450">
      <w:pPr>
        <w:ind w:left="2268"/>
        <w:jc w:val="both"/>
        <w:rPr>
          <w:rFonts w:ascii="Arial" w:hAnsi="Arial" w:cs="Arial"/>
          <w:sz w:val="20"/>
        </w:rPr>
      </w:pPr>
      <w:r w:rsidRPr="00CB1B7C">
        <w:rPr>
          <w:rFonts w:ascii="Arial" w:hAnsi="Arial" w:cs="Arial"/>
          <w:sz w:val="20"/>
        </w:rPr>
        <w:t>[RE 745.811 RG, rel. min. Gilmar Mendes, j. 17-10-2013, P, DJE de 6-11-2013, Tema 686.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ADI 2.079, rel. min. Maurício Corrêa, j. 29-4-2004, P, DJ de 18-6-2004</w:t>
      </w:r>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proofErr w:type="gramStart"/>
      <w:r w:rsidRPr="00CB1B7C">
        <w:rPr>
          <w:rFonts w:ascii="Arial" w:hAnsi="Arial" w:cs="Arial"/>
          <w:sz w:val="20"/>
        </w:rPr>
        <w:t>Ofende</w:t>
      </w:r>
      <w:proofErr w:type="gramEnd"/>
      <w:r w:rsidRPr="00CB1B7C">
        <w:rPr>
          <w:rFonts w:ascii="Arial" w:hAnsi="Arial" w:cs="Arial"/>
          <w:sz w:val="20"/>
        </w:rPr>
        <w:t xml:space="preserve"> o art. 61, § 1º, II, c, e o art. 2º da CF de 1988 emenda parlamentar que estabeleça perdão a servidores por falta ao trabalho.</w:t>
      </w:r>
    </w:p>
    <w:p w:rsidR="003E2450" w:rsidRPr="00CB1B7C" w:rsidRDefault="003E2450" w:rsidP="003E2450">
      <w:pPr>
        <w:ind w:left="2268"/>
        <w:jc w:val="both"/>
        <w:rPr>
          <w:rFonts w:ascii="Arial" w:hAnsi="Arial" w:cs="Arial"/>
          <w:sz w:val="20"/>
        </w:rPr>
      </w:pPr>
      <w:r w:rsidRPr="00CB1B7C">
        <w:rPr>
          <w:rFonts w:ascii="Arial" w:hAnsi="Arial" w:cs="Arial"/>
          <w:sz w:val="20"/>
        </w:rPr>
        <w:t>[ADI 13, rel. min. Joaquim Barbosa, j. 17-9-2007, P, DJ de 28-9-2007.</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p>
    <w:p w:rsidR="00CA16FA" w:rsidRPr="00CB1B7C" w:rsidRDefault="00CA16FA" w:rsidP="00CA16FA">
      <w:pPr>
        <w:ind w:left="2268"/>
        <w:jc w:val="both"/>
        <w:rPr>
          <w:rFonts w:ascii="Arial" w:hAnsi="Arial" w:cs="Arial"/>
          <w:sz w:val="20"/>
        </w:rPr>
      </w:pPr>
      <w:r w:rsidRPr="00CB1B7C">
        <w:rPr>
          <w:rFonts w:ascii="Arial" w:hAnsi="Arial" w:cs="Arial"/>
          <w:b/>
          <w:sz w:val="20"/>
          <w:u w:val="single"/>
        </w:rPr>
        <w:t xml:space="preserve">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w:t>
      </w:r>
      <w:proofErr w:type="gramStart"/>
      <w:r w:rsidRPr="00CB1B7C">
        <w:rPr>
          <w:rFonts w:ascii="Arial" w:hAnsi="Arial" w:cs="Arial"/>
          <w:b/>
          <w:sz w:val="20"/>
          <w:u w:val="single"/>
        </w:rPr>
        <w:t>parlamentares aos projetos de lei de iniciativa do presidente da República, ressalvado</w:t>
      </w:r>
      <w:proofErr w:type="gramEnd"/>
      <w:r w:rsidRPr="00CB1B7C">
        <w:rPr>
          <w:rFonts w:ascii="Arial" w:hAnsi="Arial" w:cs="Arial"/>
          <w:b/>
          <w:sz w:val="20"/>
          <w:u w:val="single"/>
        </w:rPr>
        <w:t xml:space="preserve"> o disposto no § 3º e no § 4º do art. 166, implicarem aumento de despesa pública</w:t>
      </w:r>
      <w:r w:rsidRPr="00CB1B7C">
        <w:rPr>
          <w:rFonts w:ascii="Arial" w:hAnsi="Arial" w:cs="Arial"/>
          <w:sz w:val="20"/>
        </w:rPr>
        <w:t xml:space="preserve"> (inciso I do art. 63 da CF).</w:t>
      </w:r>
    </w:p>
    <w:p w:rsidR="00CA16FA" w:rsidRPr="00CB1B7C" w:rsidRDefault="00CA16FA" w:rsidP="00CA16FA">
      <w:pPr>
        <w:ind w:left="2268"/>
        <w:jc w:val="both"/>
        <w:rPr>
          <w:rFonts w:ascii="Arial" w:hAnsi="Arial" w:cs="Arial"/>
          <w:sz w:val="20"/>
        </w:rPr>
      </w:pPr>
      <w:r w:rsidRPr="00CB1B7C">
        <w:rPr>
          <w:rFonts w:ascii="Arial" w:hAnsi="Arial" w:cs="Arial"/>
          <w:sz w:val="20"/>
        </w:rPr>
        <w:t>[ADI 3.114, rel. min. Ayres Britto, j. 24-8-2005, P, DJ de 7-4-2006.</w:t>
      </w:r>
      <w:proofErr w:type="gramStart"/>
      <w:r w:rsidRPr="00CB1B7C">
        <w:rPr>
          <w:rFonts w:ascii="Arial" w:hAnsi="Arial" w:cs="Arial"/>
          <w:sz w:val="20"/>
        </w:rPr>
        <w:t>]</w:t>
      </w:r>
      <w:proofErr w:type="gramEnd"/>
    </w:p>
    <w:p w:rsidR="003E2450" w:rsidRPr="00CB1B7C" w:rsidRDefault="00CA16FA" w:rsidP="00CA16FA">
      <w:pPr>
        <w:ind w:left="2268"/>
        <w:jc w:val="both"/>
        <w:rPr>
          <w:rFonts w:ascii="Arial" w:hAnsi="Arial" w:cs="Arial"/>
          <w:sz w:val="20"/>
        </w:rPr>
      </w:pPr>
      <w:r w:rsidRPr="00CB1B7C">
        <w:rPr>
          <w:rFonts w:ascii="Arial" w:hAnsi="Arial" w:cs="Arial"/>
          <w:sz w:val="20"/>
        </w:rPr>
        <w:t xml:space="preserve">= ADI 2.583, rel. min. </w:t>
      </w:r>
      <w:proofErr w:type="spellStart"/>
      <w:r w:rsidRPr="00CB1B7C">
        <w:rPr>
          <w:rFonts w:ascii="Arial" w:hAnsi="Arial" w:cs="Arial"/>
          <w:sz w:val="20"/>
        </w:rPr>
        <w:t>Cármen</w:t>
      </w:r>
      <w:proofErr w:type="spellEnd"/>
      <w:r w:rsidRPr="00CB1B7C">
        <w:rPr>
          <w:rFonts w:ascii="Arial" w:hAnsi="Arial" w:cs="Arial"/>
          <w:sz w:val="20"/>
        </w:rPr>
        <w:t xml:space="preserve"> Lúcia, j. 1º-8-2011, P, DJE de 26-8-2011</w:t>
      </w:r>
    </w:p>
    <w:p w:rsidR="00E30538" w:rsidRPr="00CB1B7C" w:rsidRDefault="00E30538" w:rsidP="00CA16FA">
      <w:pPr>
        <w:ind w:left="2268"/>
        <w:jc w:val="both"/>
        <w:rPr>
          <w:rFonts w:ascii="Arial" w:hAnsi="Arial" w:cs="Arial"/>
          <w:sz w:val="20"/>
        </w:rPr>
      </w:pPr>
    </w:p>
    <w:p w:rsidR="00E30538" w:rsidRPr="00CB1B7C" w:rsidRDefault="00E30538" w:rsidP="00E30538">
      <w:pPr>
        <w:ind w:left="2268"/>
        <w:jc w:val="both"/>
        <w:rPr>
          <w:rFonts w:ascii="Arial" w:hAnsi="Arial" w:cs="Arial"/>
          <w:sz w:val="20"/>
        </w:rPr>
      </w:pPr>
      <w:r w:rsidRPr="00CB1B7C">
        <w:rPr>
          <w:rFonts w:ascii="Arial" w:hAnsi="Arial" w:cs="Arial"/>
          <w:sz w:val="20"/>
        </w:rPr>
        <w:t xml:space="preserve">A atuação dos integrantes da assembleia legislativa dos Estados-membros acha-se submetida, no processo de formação das leis, à limitação imposta pelo art. 63 da Constituição, que veda – ressalvadas as proposições de natureza orçamentária – o oferecimento de emendas parlamentares de que resulte o aumento da despesa prevista nos projetos sujeitos ao exclusivo poder de iniciativa do governador do Estado ou referentes à organização administrativa dos Poderes Legislativo e Judiciário locais, bem assim do Ministério Público estadual. O exercício do poder de emenda, pelos membros do Parlamento, qualifica-se como prerrogativa inerente à função legislativa do Estado.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CB1B7C">
        <w:rPr>
          <w:rFonts w:ascii="Arial" w:hAnsi="Arial" w:cs="Arial"/>
          <w:sz w:val="20"/>
        </w:rPr>
        <w:t>numerus</w:t>
      </w:r>
      <w:proofErr w:type="spellEnd"/>
      <w:r w:rsidRPr="00CB1B7C">
        <w:rPr>
          <w:rFonts w:ascii="Arial" w:hAnsi="Arial" w:cs="Arial"/>
          <w:sz w:val="20"/>
        </w:rPr>
        <w:t xml:space="preserve"> </w:t>
      </w:r>
      <w:proofErr w:type="spellStart"/>
      <w:r w:rsidRPr="00CB1B7C">
        <w:rPr>
          <w:rFonts w:ascii="Arial" w:hAnsi="Arial" w:cs="Arial"/>
          <w:sz w:val="20"/>
        </w:rPr>
        <w:t>clausus</w:t>
      </w:r>
      <w:proofErr w:type="spellEnd"/>
      <w:r w:rsidRPr="00CB1B7C">
        <w:rPr>
          <w:rFonts w:ascii="Arial" w:hAnsi="Arial" w:cs="Arial"/>
          <w:sz w:val="20"/>
        </w:rPr>
        <w:t xml:space="preserve">, pela CF. A CF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CB1B7C">
        <w:rPr>
          <w:rFonts w:ascii="Arial" w:hAnsi="Arial" w:cs="Arial"/>
          <w:sz w:val="20"/>
        </w:rPr>
        <w:t>regalista</w:t>
      </w:r>
      <w:proofErr w:type="spellEnd"/>
      <w:r w:rsidRPr="00CB1B7C">
        <w:rPr>
          <w:rFonts w:ascii="Arial" w:hAnsi="Arial" w:cs="Arial"/>
          <w:sz w:val="20"/>
        </w:rPr>
        <w:t xml:space="preserve"> de Estado (RTJ 32/143 – RTJ 33/107 – RTJ 34/6 – RTJ 40/348), que suprimiria, caso ainda prevalecesse, o poder de emenda dos membros do Legislativo.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w:t>
      </w:r>
      <w:r w:rsidRPr="00CB1B7C">
        <w:rPr>
          <w:rFonts w:ascii="Arial" w:hAnsi="Arial" w:cs="Arial"/>
          <w:sz w:val="20"/>
        </w:rPr>
        <w:lastRenderedPageBreak/>
        <w:t>constitucional (CF, art. 63, I e II), bem assim aquela fundada na exigência de que as emendas de iniciativa parlamentar sempre guardem relação de pertinência ("afinidade lógica") com o objeto da proposição legislativa.</w:t>
      </w:r>
    </w:p>
    <w:p w:rsidR="00E30538" w:rsidRPr="00CB1B7C" w:rsidRDefault="00E30538" w:rsidP="00E30538">
      <w:pPr>
        <w:ind w:left="2268"/>
        <w:jc w:val="both"/>
        <w:rPr>
          <w:rFonts w:ascii="Arial" w:hAnsi="Arial" w:cs="Arial"/>
          <w:sz w:val="20"/>
        </w:rPr>
      </w:pPr>
      <w:r w:rsidRPr="00CB1B7C">
        <w:rPr>
          <w:rFonts w:ascii="Arial" w:hAnsi="Arial" w:cs="Arial"/>
          <w:sz w:val="20"/>
        </w:rPr>
        <w:t>[ADI 2.681 MC, rel. min. Celso de Mello, j. 11-9-2002, P, DJE de 25-10-2013.</w:t>
      </w:r>
      <w:proofErr w:type="gramStart"/>
      <w:r w:rsidRPr="00CB1B7C">
        <w:rPr>
          <w:rFonts w:ascii="Arial" w:hAnsi="Arial" w:cs="Arial"/>
          <w:sz w:val="20"/>
        </w:rPr>
        <w:t>]</w:t>
      </w:r>
      <w:proofErr w:type="gramEnd"/>
    </w:p>
    <w:p w:rsidR="00E30538" w:rsidRPr="00CB1B7C" w:rsidRDefault="00E30538" w:rsidP="00CA16FA">
      <w:pPr>
        <w:ind w:left="2268"/>
        <w:jc w:val="both"/>
        <w:rPr>
          <w:rFonts w:ascii="Arial" w:hAnsi="Arial" w:cs="Arial"/>
          <w:sz w:val="20"/>
        </w:rPr>
      </w:pPr>
    </w:p>
    <w:p w:rsidR="007D3DD2" w:rsidRPr="00CB1B7C" w:rsidRDefault="007D3DD2" w:rsidP="007D3DD2">
      <w:pPr>
        <w:ind w:firstLine="2268"/>
        <w:jc w:val="both"/>
        <w:rPr>
          <w:rFonts w:ascii="Arial" w:hAnsi="Arial" w:cs="Arial"/>
        </w:rPr>
      </w:pPr>
      <w:r w:rsidRPr="00CB1B7C">
        <w:rPr>
          <w:rFonts w:ascii="Arial" w:hAnsi="Arial" w:cs="Arial"/>
        </w:rPr>
        <w:t>Da exegese do acima exposto</w:t>
      </w:r>
      <w:r>
        <w:rPr>
          <w:rFonts w:ascii="Arial" w:hAnsi="Arial" w:cs="Arial"/>
        </w:rPr>
        <w:t>,</w:t>
      </w:r>
      <w:r w:rsidRPr="00CB1B7C">
        <w:rPr>
          <w:rFonts w:ascii="Arial" w:hAnsi="Arial" w:cs="Arial"/>
        </w:rPr>
        <w:t xml:space="preserve"> está claro que apesar da iniciativa para fazer uma reorganização administrativa, como ocorre no presente projeto ao se renomear cargos alterando suas funções e níveis salarias, além de excluir outros, inclusive alguns de nível de secretariado, ser privativa do Chefe do Poder Executivo, esta competência não impede a apresentação de emendas ao projeto.</w:t>
      </w:r>
    </w:p>
    <w:p w:rsidR="007D3DD2" w:rsidRPr="00CB1B7C" w:rsidRDefault="007D3DD2" w:rsidP="007D3DD2">
      <w:pPr>
        <w:ind w:firstLine="2268"/>
        <w:jc w:val="both"/>
        <w:rPr>
          <w:rFonts w:ascii="Arial" w:hAnsi="Arial" w:cs="Arial"/>
        </w:rPr>
      </w:pPr>
    </w:p>
    <w:p w:rsidR="007D3DD2" w:rsidRPr="00CB1B7C" w:rsidRDefault="007D3DD2" w:rsidP="007D3DD2">
      <w:pPr>
        <w:ind w:firstLine="2268"/>
        <w:jc w:val="both"/>
        <w:rPr>
          <w:rFonts w:ascii="Arial" w:hAnsi="Arial" w:cs="Arial"/>
        </w:rPr>
      </w:pPr>
      <w:r w:rsidRPr="00CB1B7C">
        <w:rPr>
          <w:rFonts w:ascii="Arial" w:hAnsi="Arial" w:cs="Arial"/>
        </w:rPr>
        <w:t>Entretanto, as emendas não são ilimitadas, pelo contrário</w:t>
      </w:r>
      <w:r>
        <w:rPr>
          <w:rFonts w:ascii="Arial" w:hAnsi="Arial" w:cs="Arial"/>
        </w:rPr>
        <w:t>,</w:t>
      </w:r>
      <w:r w:rsidRPr="00CB1B7C">
        <w:rPr>
          <w:rFonts w:ascii="Arial" w:hAnsi="Arial" w:cs="Arial"/>
        </w:rPr>
        <w:t xml:space="preserve"> a própria Carta Magna e os julgados do STF já trazem estes limites, quais sejam:</w:t>
      </w:r>
    </w:p>
    <w:p w:rsidR="007D3DD2" w:rsidRPr="00CB1B7C" w:rsidRDefault="007D3DD2" w:rsidP="007D3DD2">
      <w:pPr>
        <w:ind w:firstLine="2268"/>
        <w:jc w:val="both"/>
        <w:rPr>
          <w:rFonts w:ascii="Arial" w:hAnsi="Arial" w:cs="Arial"/>
        </w:rPr>
      </w:pPr>
    </w:p>
    <w:p w:rsidR="007D3DD2" w:rsidRPr="00CB1B7C" w:rsidRDefault="007D3DD2" w:rsidP="007D3DD2">
      <w:pPr>
        <w:pStyle w:val="PargrafodaLista"/>
        <w:numPr>
          <w:ilvl w:val="0"/>
          <w:numId w:val="6"/>
        </w:numPr>
        <w:jc w:val="both"/>
        <w:rPr>
          <w:rFonts w:ascii="Arial" w:hAnsi="Arial" w:cs="Arial"/>
        </w:rPr>
      </w:pPr>
      <w:r w:rsidRPr="00CB1B7C">
        <w:rPr>
          <w:rFonts w:ascii="Arial" w:hAnsi="Arial" w:cs="Arial"/>
        </w:rPr>
        <w:t>Não podem aumentar despesas;</w:t>
      </w:r>
    </w:p>
    <w:p w:rsidR="007D3DD2" w:rsidRPr="00CB1B7C" w:rsidRDefault="007D3DD2" w:rsidP="007D3DD2">
      <w:pPr>
        <w:pStyle w:val="PargrafodaLista"/>
        <w:numPr>
          <w:ilvl w:val="0"/>
          <w:numId w:val="6"/>
        </w:numPr>
        <w:jc w:val="both"/>
        <w:rPr>
          <w:rFonts w:ascii="Arial" w:hAnsi="Arial" w:cs="Arial"/>
        </w:rPr>
      </w:pPr>
      <w:r w:rsidRPr="00CB1B7C">
        <w:rPr>
          <w:rFonts w:ascii="Arial" w:hAnsi="Arial" w:cs="Arial"/>
        </w:rPr>
        <w:t>Devem possuir pertinência temática;</w:t>
      </w:r>
    </w:p>
    <w:p w:rsidR="007D3DD2" w:rsidRPr="00CB1B7C" w:rsidRDefault="007D3DD2" w:rsidP="007D3DD2">
      <w:pPr>
        <w:pStyle w:val="PargrafodaLista"/>
        <w:numPr>
          <w:ilvl w:val="0"/>
          <w:numId w:val="6"/>
        </w:numPr>
        <w:jc w:val="both"/>
        <w:rPr>
          <w:rFonts w:ascii="Arial" w:hAnsi="Arial" w:cs="Arial"/>
        </w:rPr>
      </w:pPr>
      <w:r w:rsidRPr="00CB1B7C">
        <w:rPr>
          <w:rFonts w:ascii="Arial" w:hAnsi="Arial" w:cs="Arial"/>
        </w:rPr>
        <w:t xml:space="preserve">Não podem ser ampliativas. </w:t>
      </w:r>
    </w:p>
    <w:p w:rsidR="007D3DD2" w:rsidRPr="00CB1B7C" w:rsidRDefault="007D3DD2" w:rsidP="007D3DD2">
      <w:pPr>
        <w:ind w:firstLine="2268"/>
        <w:jc w:val="both"/>
        <w:rPr>
          <w:rFonts w:ascii="Arial" w:hAnsi="Arial" w:cs="Arial"/>
        </w:rPr>
      </w:pPr>
    </w:p>
    <w:p w:rsidR="007D3DD2" w:rsidRPr="00CB1B7C" w:rsidRDefault="007D3DD2" w:rsidP="007D3DD2">
      <w:pPr>
        <w:ind w:firstLine="2268"/>
        <w:jc w:val="both"/>
        <w:rPr>
          <w:rFonts w:ascii="Arial" w:hAnsi="Arial" w:cs="Arial"/>
        </w:rPr>
      </w:pPr>
      <w:r w:rsidRPr="00CB1B7C">
        <w:rPr>
          <w:rFonts w:ascii="Arial" w:hAnsi="Arial" w:cs="Arial"/>
        </w:rPr>
        <w:t xml:space="preserve">Neste sentido são os pareceres 2397/2019 e 2601/2019 do Instituto Brasileiro de Administração Pública o qual </w:t>
      </w:r>
      <w:r>
        <w:rPr>
          <w:rFonts w:ascii="Arial" w:hAnsi="Arial" w:cs="Arial"/>
        </w:rPr>
        <w:t>presta</w:t>
      </w:r>
      <w:r w:rsidRPr="00CB1B7C">
        <w:rPr>
          <w:rFonts w:ascii="Arial" w:hAnsi="Arial" w:cs="Arial"/>
        </w:rPr>
        <w:t xml:space="preserve"> assessoria à Procuradoria desta Casa.</w:t>
      </w:r>
    </w:p>
    <w:p w:rsidR="007D3DD2" w:rsidRPr="00CB1B7C" w:rsidRDefault="007D3DD2" w:rsidP="007D3DD2">
      <w:pPr>
        <w:ind w:firstLine="2268"/>
        <w:jc w:val="both"/>
        <w:rPr>
          <w:rFonts w:ascii="Arial" w:hAnsi="Arial" w:cs="Arial"/>
        </w:rPr>
      </w:pPr>
    </w:p>
    <w:p w:rsidR="007D3DD2" w:rsidRPr="00CB1B7C" w:rsidRDefault="007D3DD2" w:rsidP="007D3DD2">
      <w:pPr>
        <w:ind w:firstLine="2268"/>
        <w:jc w:val="both"/>
        <w:rPr>
          <w:rFonts w:ascii="Arial" w:hAnsi="Arial" w:cs="Arial"/>
        </w:rPr>
      </w:pPr>
      <w:r w:rsidRPr="00CB1B7C">
        <w:rPr>
          <w:rFonts w:ascii="Arial" w:hAnsi="Arial" w:cs="Arial"/>
        </w:rPr>
        <w:t xml:space="preserve">Para explicar, trazemos abaixo excertos de </w:t>
      </w:r>
      <w:proofErr w:type="gramStart"/>
      <w:r w:rsidRPr="00CB1B7C">
        <w:rPr>
          <w:rFonts w:ascii="Arial" w:hAnsi="Arial" w:cs="Arial"/>
        </w:rPr>
        <w:t>ambos</w:t>
      </w:r>
      <w:proofErr w:type="gramEnd"/>
      <w:r w:rsidRPr="00CB1B7C">
        <w:rPr>
          <w:rFonts w:ascii="Arial" w:hAnsi="Arial" w:cs="Arial"/>
        </w:rPr>
        <w:t xml:space="preserve"> pareceres:</w:t>
      </w:r>
    </w:p>
    <w:p w:rsidR="007D3DD2" w:rsidRPr="00CB1B7C" w:rsidRDefault="007D3DD2" w:rsidP="007D3DD2">
      <w:pPr>
        <w:ind w:firstLine="2268"/>
        <w:jc w:val="both"/>
        <w:rPr>
          <w:rFonts w:ascii="Arial" w:hAnsi="Arial" w:cs="Arial"/>
        </w:rPr>
      </w:pPr>
    </w:p>
    <w:p w:rsidR="007D3DD2" w:rsidRPr="00CB1B7C" w:rsidRDefault="007D3DD2" w:rsidP="007D3DD2">
      <w:pPr>
        <w:ind w:firstLine="2268"/>
        <w:jc w:val="both"/>
        <w:rPr>
          <w:rFonts w:ascii="Arial" w:hAnsi="Arial" w:cs="Arial"/>
        </w:rPr>
      </w:pPr>
      <w:r w:rsidRPr="00CB1B7C">
        <w:rPr>
          <w:rFonts w:ascii="Arial" w:hAnsi="Arial" w:cs="Arial"/>
        </w:rPr>
        <w:t>Parecer 2601/2019:</w:t>
      </w:r>
    </w:p>
    <w:p w:rsidR="007D3DD2" w:rsidRPr="00CB1B7C" w:rsidRDefault="007D3DD2" w:rsidP="007D3DD2">
      <w:pPr>
        <w:ind w:firstLine="2268"/>
        <w:jc w:val="both"/>
        <w:rPr>
          <w:rFonts w:ascii="Arial" w:hAnsi="Arial" w:cs="Arial"/>
        </w:rPr>
      </w:pPr>
    </w:p>
    <w:p w:rsidR="007D3DD2" w:rsidRPr="00CB1B7C" w:rsidRDefault="007D3DD2" w:rsidP="007D3DD2">
      <w:pPr>
        <w:ind w:left="2268"/>
        <w:jc w:val="both"/>
        <w:rPr>
          <w:rFonts w:ascii="Arial" w:hAnsi="Arial" w:cs="Arial"/>
          <w:sz w:val="20"/>
        </w:rPr>
      </w:pPr>
      <w:r w:rsidRPr="00CB1B7C">
        <w:rPr>
          <w:rFonts w:ascii="Arial" w:hAnsi="Arial" w:cs="Arial"/>
          <w:sz w:val="20"/>
        </w:rPr>
        <w:t xml:space="preserve">Por força do princípio da Separação de Poderes (art. 2º, da CF), que deve ser aplicado de acordo com o nosso sistema de freios e contrapesos, existem limites objetivos ao poder de emenda da Câmara Municipal aos projetos de lei de iniciativa do Prefeito Municipal, notadamente quando (i) gerem aumento de despesa nas proposições de iniciativa do Chefe do </w:t>
      </w:r>
      <w:proofErr w:type="gramStart"/>
      <w:r w:rsidRPr="00CB1B7C">
        <w:rPr>
          <w:rFonts w:ascii="Arial" w:hAnsi="Arial" w:cs="Arial"/>
          <w:sz w:val="20"/>
        </w:rPr>
        <w:t>Executivo, ressalvadas</w:t>
      </w:r>
      <w:proofErr w:type="gramEnd"/>
      <w:r w:rsidRPr="00CB1B7C">
        <w:rPr>
          <w:rFonts w:ascii="Arial" w:hAnsi="Arial" w:cs="Arial"/>
          <w:sz w:val="20"/>
        </w:rPr>
        <w:t xml:space="preserve"> as exceções instituídas pelo legislador constituinte originário (art. 63, inc. I c/c art. 166, §§3º e 4º, da CRFB); e, (</w:t>
      </w:r>
      <w:proofErr w:type="spellStart"/>
      <w:r w:rsidRPr="00CB1B7C">
        <w:rPr>
          <w:rFonts w:ascii="Arial" w:hAnsi="Arial" w:cs="Arial"/>
          <w:sz w:val="20"/>
        </w:rPr>
        <w:t>ii</w:t>
      </w:r>
      <w:proofErr w:type="spellEnd"/>
      <w:r w:rsidRPr="00CB1B7C">
        <w:rPr>
          <w:rFonts w:ascii="Arial" w:hAnsi="Arial" w:cs="Arial"/>
          <w:sz w:val="20"/>
        </w:rPr>
        <w:t>) não possuam pertinência temática com o respectivo projeto de lei. (...)</w:t>
      </w:r>
    </w:p>
    <w:p w:rsidR="007D3DD2" w:rsidRPr="00CB1B7C" w:rsidRDefault="007D3DD2" w:rsidP="007D3DD2">
      <w:pPr>
        <w:ind w:firstLine="2268"/>
        <w:jc w:val="both"/>
        <w:rPr>
          <w:rFonts w:ascii="Arial" w:hAnsi="Arial" w:cs="Arial"/>
          <w:sz w:val="20"/>
        </w:rPr>
      </w:pPr>
    </w:p>
    <w:p w:rsidR="007D3DD2" w:rsidRPr="00CB1B7C" w:rsidRDefault="007D3DD2" w:rsidP="007D3DD2">
      <w:pPr>
        <w:ind w:firstLine="2268"/>
        <w:jc w:val="both"/>
        <w:rPr>
          <w:rFonts w:ascii="Arial" w:hAnsi="Arial" w:cs="Arial"/>
        </w:rPr>
      </w:pPr>
      <w:r w:rsidRPr="00CB1B7C">
        <w:rPr>
          <w:rFonts w:ascii="Arial" w:hAnsi="Arial" w:cs="Arial"/>
        </w:rPr>
        <w:t>Parecer 2397/2019:</w:t>
      </w:r>
    </w:p>
    <w:p w:rsidR="007D3DD2" w:rsidRPr="00CB1B7C" w:rsidRDefault="007D3DD2" w:rsidP="007D3DD2">
      <w:pPr>
        <w:ind w:firstLine="2268"/>
        <w:jc w:val="both"/>
        <w:rPr>
          <w:rFonts w:ascii="Arial" w:hAnsi="Arial" w:cs="Arial"/>
        </w:rPr>
      </w:pPr>
    </w:p>
    <w:p w:rsidR="007D3DD2" w:rsidRPr="00CB1B7C" w:rsidRDefault="007D3DD2" w:rsidP="007D3DD2">
      <w:pPr>
        <w:ind w:left="2268"/>
        <w:jc w:val="both"/>
        <w:rPr>
          <w:rFonts w:ascii="Arial" w:hAnsi="Arial" w:cs="Arial"/>
          <w:sz w:val="20"/>
        </w:rPr>
      </w:pPr>
      <w:r w:rsidRPr="00CB1B7C">
        <w:rPr>
          <w:rFonts w:ascii="Arial" w:hAnsi="Arial" w:cs="Arial"/>
          <w:sz w:val="20"/>
        </w:rPr>
        <w:t xml:space="preserve">O poder de emenda parlamentar é prerrogativa político-jurídica ao exercício da atividade legislativa, com assento constitucional. Esta prerrogativa não significa o poder de iniciar o processo de formação das leis, mas pode ser legitimamente exercida pelos membros do Legislativo, ainda que se </w:t>
      </w:r>
      <w:proofErr w:type="gramStart"/>
      <w:r w:rsidRPr="00CB1B7C">
        <w:rPr>
          <w:rFonts w:ascii="Arial" w:hAnsi="Arial" w:cs="Arial"/>
          <w:sz w:val="20"/>
        </w:rPr>
        <w:t>trata</w:t>
      </w:r>
      <w:proofErr w:type="gramEnd"/>
      <w:r w:rsidRPr="00CB1B7C">
        <w:rPr>
          <w:rFonts w:ascii="Arial" w:hAnsi="Arial" w:cs="Arial"/>
          <w:sz w:val="20"/>
        </w:rPr>
        <w:t xml:space="preserve"> de proposições constitucionalmente sujeitas à cláusula de reserva de iniciativa (como no caso em tela), desde que respeitadas as limitações estabelecidas na Constituição. De acordo com Hely Lopes Meirelles:</w:t>
      </w:r>
    </w:p>
    <w:p w:rsidR="007D3DD2" w:rsidRPr="00CB1B7C" w:rsidRDefault="007D3DD2" w:rsidP="007D3DD2">
      <w:pPr>
        <w:ind w:left="2268"/>
        <w:jc w:val="both"/>
        <w:rPr>
          <w:rFonts w:ascii="Arial" w:hAnsi="Arial" w:cs="Arial"/>
          <w:sz w:val="20"/>
        </w:rPr>
      </w:pPr>
      <w:r w:rsidRPr="00CB1B7C">
        <w:rPr>
          <w:rFonts w:ascii="Arial" w:hAnsi="Arial" w:cs="Arial"/>
          <w:sz w:val="20"/>
        </w:rPr>
        <w:t xml:space="preserve">“A exclusividade da iniciativa de certas leis destina-se a circunscrever (não a anular) a discussão e votação do projeto às matérias </w:t>
      </w:r>
      <w:r w:rsidRPr="00CB1B7C">
        <w:rPr>
          <w:rFonts w:ascii="Arial" w:hAnsi="Arial" w:cs="Arial"/>
          <w:sz w:val="20"/>
        </w:rPr>
        <w:lastRenderedPageBreak/>
        <w:t>propostas pelo Executivo. Nessa conformidade, pode o Legislativo apresentar emendas supressivas e restritivas, não lhe sendo permitido, porém, oferecer emendas ampliativas, porque estas transbordam da iniciativa do Executivo. (...</w:t>
      </w:r>
      <w:proofErr w:type="gramStart"/>
      <w:r w:rsidRPr="00CB1B7C">
        <w:rPr>
          <w:rFonts w:ascii="Arial" w:hAnsi="Arial" w:cs="Arial"/>
          <w:sz w:val="20"/>
        </w:rPr>
        <w:t>)conceder</w:t>
      </w:r>
      <w:proofErr w:type="gramEnd"/>
      <w:r w:rsidRPr="00CB1B7C">
        <w:rPr>
          <w:rFonts w:ascii="Arial" w:hAnsi="Arial" w:cs="Arial"/>
          <w:sz w:val="20"/>
        </w:rPr>
        <w:t xml:space="preserve"> à Câmara o poder ilimitado de emendar a proposta de iniciativa exclusiva do prefeito seria invalidar o privilégio constitucional estabelecido em favor do Executivo. (In Direito Municipal Brasileiro, São Paulo: Malheiros Editores, 1993, p. 542, g. n.).</w:t>
      </w:r>
    </w:p>
    <w:p w:rsidR="007D3DD2" w:rsidRPr="00CB1B7C" w:rsidRDefault="007D3DD2" w:rsidP="007D3DD2">
      <w:pPr>
        <w:ind w:firstLine="2268"/>
        <w:jc w:val="both"/>
        <w:rPr>
          <w:rFonts w:ascii="Arial" w:hAnsi="Arial" w:cs="Arial"/>
          <w:sz w:val="20"/>
        </w:rPr>
      </w:pPr>
    </w:p>
    <w:p w:rsidR="007D3DD2" w:rsidRPr="002B6292" w:rsidRDefault="007D3DD2" w:rsidP="007D3DD2">
      <w:pPr>
        <w:ind w:firstLine="2268"/>
        <w:jc w:val="both"/>
        <w:rPr>
          <w:rFonts w:ascii="Arial" w:hAnsi="Arial" w:cs="Arial"/>
        </w:rPr>
      </w:pPr>
      <w:r w:rsidRPr="002B6292">
        <w:rPr>
          <w:rFonts w:ascii="Arial" w:hAnsi="Arial" w:cs="Arial"/>
        </w:rPr>
        <w:t>Neste sentido</w:t>
      </w:r>
      <w:r>
        <w:rPr>
          <w:rFonts w:ascii="Arial" w:hAnsi="Arial" w:cs="Arial"/>
        </w:rPr>
        <w:t>,</w:t>
      </w:r>
      <w:r w:rsidRPr="002B6292">
        <w:rPr>
          <w:rFonts w:ascii="Arial" w:hAnsi="Arial" w:cs="Arial"/>
        </w:rPr>
        <w:t xml:space="preserve"> também é o magistério de CAVALCANTE</w:t>
      </w:r>
      <w:proofErr w:type="gramStart"/>
      <w:r w:rsidRPr="002B6292">
        <w:rPr>
          <w:rStyle w:val="Refdenotaderodap"/>
          <w:rFonts w:ascii="Arial" w:hAnsi="Arial" w:cs="Arial"/>
        </w:rPr>
        <w:footnoteReference w:id="1"/>
      </w:r>
      <w:proofErr w:type="gramEnd"/>
    </w:p>
    <w:p w:rsidR="007D3DD2" w:rsidRPr="00CB1B7C" w:rsidRDefault="007D3DD2" w:rsidP="007D3DD2">
      <w:pPr>
        <w:ind w:firstLine="2268"/>
        <w:jc w:val="both"/>
        <w:rPr>
          <w:rFonts w:ascii="Arial" w:hAnsi="Arial" w:cs="Arial"/>
          <w:sz w:val="20"/>
        </w:rPr>
      </w:pPr>
    </w:p>
    <w:p w:rsidR="007D3DD2" w:rsidRPr="00CB1B7C" w:rsidRDefault="007D3DD2" w:rsidP="007D3DD2">
      <w:pPr>
        <w:jc w:val="both"/>
        <w:rPr>
          <w:rFonts w:ascii="Arial" w:hAnsi="Arial" w:cs="Arial"/>
        </w:rPr>
      </w:pPr>
      <w:r w:rsidRPr="00CB1B7C">
        <w:rPr>
          <w:rFonts w:ascii="Arial" w:hAnsi="Arial" w:cs="Arial"/>
          <w:noProof/>
        </w:rPr>
        <w:drawing>
          <wp:inline distT="0" distB="0" distL="0" distR="0" wp14:anchorId="4B1216A4" wp14:editId="0FFB7144">
            <wp:extent cx="5400040" cy="22725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72540"/>
                    </a:xfrm>
                    <a:prstGeom prst="rect">
                      <a:avLst/>
                    </a:prstGeom>
                    <a:noFill/>
                    <a:ln>
                      <a:noFill/>
                    </a:ln>
                  </pic:spPr>
                </pic:pic>
              </a:graphicData>
            </a:graphic>
          </wp:inline>
        </w:drawing>
      </w:r>
    </w:p>
    <w:p w:rsidR="007D3DD2" w:rsidRPr="00CB1B7C" w:rsidRDefault="007D3DD2" w:rsidP="007D3DD2">
      <w:pPr>
        <w:jc w:val="both"/>
        <w:rPr>
          <w:rFonts w:ascii="Arial" w:hAnsi="Arial" w:cs="Arial"/>
        </w:rPr>
      </w:pPr>
    </w:p>
    <w:p w:rsidR="007D3DD2" w:rsidRPr="00CB1B7C" w:rsidRDefault="007D3DD2" w:rsidP="007D3DD2">
      <w:pPr>
        <w:ind w:firstLine="2268"/>
        <w:jc w:val="both"/>
        <w:rPr>
          <w:rFonts w:ascii="Arial" w:hAnsi="Arial" w:cs="Arial"/>
        </w:rPr>
      </w:pPr>
      <w:r>
        <w:rPr>
          <w:rFonts w:ascii="Arial" w:hAnsi="Arial" w:cs="Arial"/>
        </w:rPr>
        <w:t xml:space="preserve">Igualmente, </w:t>
      </w:r>
      <w:r w:rsidRPr="00CB1B7C">
        <w:rPr>
          <w:rFonts w:ascii="Arial" w:hAnsi="Arial" w:cs="Arial"/>
        </w:rPr>
        <w:t xml:space="preserve">é </w:t>
      </w:r>
      <w:r>
        <w:rPr>
          <w:rFonts w:ascii="Arial" w:hAnsi="Arial" w:cs="Arial"/>
        </w:rPr>
        <w:t>a</w:t>
      </w:r>
      <w:r w:rsidRPr="00CB1B7C">
        <w:rPr>
          <w:rFonts w:ascii="Arial" w:hAnsi="Arial" w:cs="Arial"/>
        </w:rPr>
        <w:t xml:space="preserve"> </w:t>
      </w:r>
      <w:r>
        <w:rPr>
          <w:rFonts w:ascii="Arial" w:hAnsi="Arial" w:cs="Arial"/>
        </w:rPr>
        <w:t>doutrina</w:t>
      </w:r>
      <w:r w:rsidRPr="00CB1B7C">
        <w:rPr>
          <w:rFonts w:ascii="Arial" w:hAnsi="Arial" w:cs="Arial"/>
        </w:rPr>
        <w:t xml:space="preserve"> do agora Ministro do STF, MORAES</w:t>
      </w:r>
      <w:proofErr w:type="gramStart"/>
      <w:r w:rsidRPr="00CB1B7C">
        <w:rPr>
          <w:rStyle w:val="Refdenotaderodap"/>
          <w:rFonts w:ascii="Arial" w:hAnsi="Arial" w:cs="Arial"/>
        </w:rPr>
        <w:footnoteReference w:id="2"/>
      </w:r>
      <w:proofErr w:type="gramEnd"/>
    </w:p>
    <w:p w:rsidR="007D3DD2" w:rsidRPr="00CB1B7C" w:rsidRDefault="007D3DD2" w:rsidP="007D3DD2">
      <w:pPr>
        <w:ind w:firstLine="2268"/>
        <w:jc w:val="both"/>
        <w:rPr>
          <w:rFonts w:ascii="Arial" w:hAnsi="Arial" w:cs="Arial"/>
        </w:rPr>
      </w:pPr>
    </w:p>
    <w:p w:rsidR="007D3DD2" w:rsidRPr="00CB1B7C" w:rsidRDefault="007D3DD2" w:rsidP="007D3DD2">
      <w:pPr>
        <w:ind w:left="2268"/>
        <w:jc w:val="both"/>
        <w:rPr>
          <w:rFonts w:ascii="Arial" w:hAnsi="Arial" w:cs="Arial"/>
          <w:i/>
          <w:sz w:val="20"/>
        </w:rPr>
      </w:pPr>
      <w:r w:rsidRPr="00CB1B7C">
        <w:rPr>
          <w:rFonts w:ascii="Arial" w:hAnsi="Arial" w:cs="Arial"/>
          <w:i/>
          <w:sz w:val="20"/>
        </w:rPr>
        <w:t>Emenda que aumenta a despesa em projeto de iniciativa exclusiva do chefe do Poder Executivo ou que desnature o projeto original</w:t>
      </w:r>
    </w:p>
    <w:p w:rsidR="007D3DD2" w:rsidRPr="00CB1B7C" w:rsidRDefault="007D3DD2" w:rsidP="007D3DD2">
      <w:pPr>
        <w:ind w:left="2268"/>
        <w:jc w:val="both"/>
        <w:rPr>
          <w:rFonts w:ascii="Arial" w:hAnsi="Arial" w:cs="Arial"/>
          <w:sz w:val="20"/>
        </w:rPr>
      </w:pPr>
      <w:r w:rsidRPr="00CB1B7C">
        <w:rPr>
          <w:rFonts w:ascii="Arial" w:hAnsi="Arial" w:cs="Arial"/>
          <w:sz w:val="20"/>
        </w:rPr>
        <w:t xml:space="preserve">Os projetos de lei enviados pelo Presidente da República à Câmara dos Deputados, quando de sua iniciativa exclusiva, em regra, poderão ser alterados, através de emendas apresentadas pelos parlamentares, no exercício constitucional da atividade </w:t>
      </w:r>
      <w:proofErr w:type="spellStart"/>
      <w:r w:rsidRPr="00CB1B7C">
        <w:rPr>
          <w:rFonts w:ascii="Arial" w:hAnsi="Arial" w:cs="Arial"/>
          <w:sz w:val="20"/>
        </w:rPr>
        <w:t>legiferante</w:t>
      </w:r>
      <w:proofErr w:type="spellEnd"/>
      <w:r w:rsidRPr="00CB1B7C">
        <w:rPr>
          <w:rFonts w:ascii="Arial" w:hAnsi="Arial" w:cs="Arial"/>
          <w:sz w:val="20"/>
        </w:rPr>
        <w:t xml:space="preserve">, própria ao Poder </w:t>
      </w:r>
      <w:proofErr w:type="gramStart"/>
      <w:r w:rsidRPr="00CB1B7C">
        <w:rPr>
          <w:rFonts w:ascii="Arial" w:hAnsi="Arial" w:cs="Arial"/>
          <w:sz w:val="20"/>
        </w:rPr>
        <w:t>Legislativo.</w:t>
      </w:r>
      <w:proofErr w:type="gramEnd"/>
      <w:r w:rsidRPr="00CB1B7C">
        <w:rPr>
          <w:rFonts w:ascii="Arial" w:hAnsi="Arial" w:cs="Arial"/>
          <w:sz w:val="20"/>
        </w:rPr>
        <w:t>27 Há, entretanto, exceções no texto constitucional, uma vez que não são permitidas</w:t>
      </w:r>
    </w:p>
    <w:p w:rsidR="007D3DD2" w:rsidRPr="00CB1B7C" w:rsidRDefault="007D3DD2" w:rsidP="007D3DD2">
      <w:pPr>
        <w:ind w:left="2268"/>
        <w:jc w:val="both"/>
        <w:rPr>
          <w:rFonts w:ascii="Arial" w:hAnsi="Arial" w:cs="Arial"/>
          <w:sz w:val="20"/>
        </w:rPr>
      </w:pPr>
      <w:proofErr w:type="gramStart"/>
      <w:r w:rsidRPr="00CB1B7C">
        <w:rPr>
          <w:rFonts w:ascii="Arial" w:hAnsi="Arial" w:cs="Arial"/>
          <w:sz w:val="20"/>
        </w:rPr>
        <w:t>emendas</w:t>
      </w:r>
      <w:proofErr w:type="gramEnd"/>
      <w:r w:rsidRPr="00CB1B7C">
        <w:rPr>
          <w:rFonts w:ascii="Arial" w:hAnsi="Arial" w:cs="Arial"/>
          <w:sz w:val="20"/>
        </w:rPr>
        <w:t xml:space="preserve"> que não guardem qualquer pertinência temática com a matéria tratada, desnaturando-o por completo, bem como aquelas que visem ao aumento de despesa prevista nos projetos de iniciativa exclusiva do Presidente da República, sendo que em ambas as hipóteses haverá flagrante inconstitucionalidade da norma inserida, por emenda parlamentar, em projeto de iniciativa exclusiva do Chefe do Poder Executivo, por flagrante ofensa ao princípio de independência e harmonia entre os Poderes da República.</w:t>
      </w:r>
    </w:p>
    <w:p w:rsidR="007D3DD2" w:rsidRPr="00CB1B7C" w:rsidRDefault="007D3DD2" w:rsidP="007D3DD2">
      <w:pPr>
        <w:ind w:left="2268"/>
        <w:jc w:val="both"/>
        <w:rPr>
          <w:rFonts w:ascii="Arial" w:hAnsi="Arial" w:cs="Arial"/>
          <w:sz w:val="20"/>
        </w:rPr>
      </w:pPr>
      <w:r w:rsidRPr="00CB1B7C">
        <w:rPr>
          <w:rFonts w:ascii="Arial" w:hAnsi="Arial" w:cs="Arial"/>
          <w:sz w:val="20"/>
        </w:rPr>
        <w:t xml:space="preserve">Porém, a própria exceção não se aplica na matéria orçamentária, pois o art. 166, §§ 3º e 4º, da Constituição Federal, permite a apresentação de emendas que aumentem as despesas, no projeto de lei do orçamento anual ou projetos que o modifiquem, desde que compatíveis com o plano plurianual e com a lei de diretrizes orçamentárias, bem como desde que indiquem os recursos </w:t>
      </w:r>
      <w:r w:rsidRPr="00CB1B7C">
        <w:rPr>
          <w:rFonts w:ascii="Arial" w:hAnsi="Arial" w:cs="Arial"/>
          <w:sz w:val="20"/>
        </w:rPr>
        <w:lastRenderedPageBreak/>
        <w:t>necessários para o aumento destas despesas.</w:t>
      </w:r>
    </w:p>
    <w:p w:rsidR="007D3DD2" w:rsidRPr="00CB1B7C" w:rsidRDefault="007D3DD2" w:rsidP="007D3DD2">
      <w:pPr>
        <w:ind w:left="2268"/>
        <w:jc w:val="both"/>
        <w:rPr>
          <w:rFonts w:ascii="Arial" w:hAnsi="Arial" w:cs="Arial"/>
          <w:sz w:val="20"/>
        </w:rPr>
      </w:pPr>
      <w:r w:rsidRPr="00CB1B7C">
        <w:rPr>
          <w:rFonts w:ascii="Arial" w:hAnsi="Arial" w:cs="Arial"/>
          <w:sz w:val="20"/>
        </w:rPr>
        <w:t xml:space="preserve">Conforme destacado pelo Supremo Tribunal Federal, “as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w:t>
      </w:r>
      <w:proofErr w:type="gramStart"/>
      <w:r w:rsidRPr="00CB1B7C">
        <w:rPr>
          <w:rFonts w:ascii="Arial" w:hAnsi="Arial" w:cs="Arial"/>
          <w:sz w:val="20"/>
        </w:rPr>
        <w:t>parlamentares aos projetos de lei de iniciativa do Presidente da República, ressalvado</w:t>
      </w:r>
      <w:proofErr w:type="gramEnd"/>
      <w:r w:rsidRPr="00CB1B7C">
        <w:rPr>
          <w:rFonts w:ascii="Arial" w:hAnsi="Arial" w:cs="Arial"/>
          <w:sz w:val="20"/>
        </w:rPr>
        <w:t xml:space="preserve"> o disposto no § 3º e no § 4º do art. 166, implicarem aumento de despesa pública (inciso I do art. 63 da CF).”.</w:t>
      </w:r>
    </w:p>
    <w:p w:rsidR="007D3DD2" w:rsidRDefault="007D3DD2" w:rsidP="00040F57">
      <w:pPr>
        <w:ind w:firstLine="2268"/>
        <w:jc w:val="both"/>
        <w:rPr>
          <w:rFonts w:ascii="Arial" w:hAnsi="Arial" w:cs="Arial"/>
        </w:rPr>
      </w:pPr>
    </w:p>
    <w:p w:rsidR="00DC1F87" w:rsidRDefault="00DC1F87" w:rsidP="00040F57">
      <w:pPr>
        <w:ind w:firstLine="2268"/>
        <w:jc w:val="both"/>
        <w:rPr>
          <w:rFonts w:ascii="Arial" w:hAnsi="Arial" w:cs="Arial"/>
        </w:rPr>
      </w:pPr>
      <w:r w:rsidRPr="00CB1B7C">
        <w:rPr>
          <w:rFonts w:ascii="Arial" w:hAnsi="Arial" w:cs="Arial"/>
        </w:rPr>
        <w:t xml:space="preserve">Estabelecidas estas premissas passamos a analisar, individualmente, a emenda </w:t>
      </w:r>
      <w:r w:rsidR="00415F44">
        <w:rPr>
          <w:rFonts w:ascii="Arial" w:hAnsi="Arial" w:cs="Arial"/>
        </w:rPr>
        <w:t>em foco</w:t>
      </w:r>
      <w:r w:rsidRPr="00CB1B7C">
        <w:rPr>
          <w:rFonts w:ascii="Arial" w:hAnsi="Arial" w:cs="Arial"/>
        </w:rPr>
        <w:t xml:space="preserve">. </w:t>
      </w:r>
    </w:p>
    <w:p w:rsidR="00415F44" w:rsidRDefault="00415F44" w:rsidP="00040F57">
      <w:pPr>
        <w:ind w:firstLine="2268"/>
        <w:jc w:val="both"/>
        <w:rPr>
          <w:rFonts w:ascii="Arial" w:hAnsi="Arial" w:cs="Arial"/>
        </w:rPr>
      </w:pPr>
    </w:p>
    <w:p w:rsidR="00CC5359" w:rsidRDefault="00CC5359" w:rsidP="00040F57">
      <w:pPr>
        <w:ind w:firstLine="2268"/>
        <w:jc w:val="both"/>
        <w:rPr>
          <w:rFonts w:ascii="Arial" w:hAnsi="Arial" w:cs="Arial"/>
        </w:rPr>
      </w:pPr>
      <w:r>
        <w:rPr>
          <w:rFonts w:ascii="Arial" w:hAnsi="Arial" w:cs="Arial"/>
        </w:rPr>
        <w:t>Vejamos a justificativa apresentada pelo</w:t>
      </w:r>
      <w:r w:rsidR="00E23576">
        <w:rPr>
          <w:rFonts w:ascii="Arial" w:hAnsi="Arial" w:cs="Arial"/>
        </w:rPr>
        <w:t>s</w:t>
      </w:r>
      <w:r>
        <w:rPr>
          <w:rFonts w:ascii="Arial" w:hAnsi="Arial" w:cs="Arial"/>
        </w:rPr>
        <w:t xml:space="preserve"> nobre</w:t>
      </w:r>
      <w:r w:rsidR="00E23576">
        <w:rPr>
          <w:rFonts w:ascii="Arial" w:hAnsi="Arial" w:cs="Arial"/>
        </w:rPr>
        <w:t>s</w:t>
      </w:r>
      <w:r>
        <w:rPr>
          <w:rFonts w:ascii="Arial" w:hAnsi="Arial" w:cs="Arial"/>
        </w:rPr>
        <w:t xml:space="preserve"> autor</w:t>
      </w:r>
      <w:r w:rsidR="00E23576">
        <w:rPr>
          <w:rFonts w:ascii="Arial" w:hAnsi="Arial" w:cs="Arial"/>
        </w:rPr>
        <w:t>es</w:t>
      </w:r>
      <w:r>
        <w:rPr>
          <w:rFonts w:ascii="Arial" w:hAnsi="Arial" w:cs="Arial"/>
        </w:rPr>
        <w:t xml:space="preserve"> da matéria:</w:t>
      </w:r>
    </w:p>
    <w:p w:rsidR="00CC5359" w:rsidRDefault="00CC5359" w:rsidP="00040F57">
      <w:pPr>
        <w:ind w:firstLine="2268"/>
        <w:jc w:val="both"/>
        <w:rPr>
          <w:rFonts w:ascii="Arial" w:hAnsi="Arial" w:cs="Arial"/>
        </w:rPr>
      </w:pPr>
    </w:p>
    <w:p w:rsidR="002B129E" w:rsidRPr="002B129E" w:rsidRDefault="002B129E" w:rsidP="002B129E">
      <w:pPr>
        <w:ind w:left="2268"/>
        <w:jc w:val="both"/>
        <w:rPr>
          <w:rFonts w:ascii="Arial" w:hAnsi="Arial" w:cs="Arial"/>
          <w:sz w:val="20"/>
        </w:rPr>
      </w:pPr>
      <w:r w:rsidRPr="002B129E">
        <w:rPr>
          <w:rFonts w:ascii="Arial" w:hAnsi="Arial" w:cs="Arial"/>
          <w:sz w:val="20"/>
        </w:rPr>
        <w:t>Tal supressão faz-se necessário, uma vez que o acúmulo de funções entre as Secretarias de Educação, Cultura e Esporte, poderá ser prejudicial ao desempenho das funções dos Secretários. O cargo de Secretário de Educação</w:t>
      </w:r>
      <w:proofErr w:type="gramStart"/>
      <w:r w:rsidRPr="002B129E">
        <w:rPr>
          <w:rFonts w:ascii="Arial" w:hAnsi="Arial" w:cs="Arial"/>
          <w:sz w:val="20"/>
        </w:rPr>
        <w:t xml:space="preserve"> por exemplo</w:t>
      </w:r>
      <w:proofErr w:type="gramEnd"/>
      <w:r w:rsidRPr="002B129E">
        <w:rPr>
          <w:rFonts w:ascii="Arial" w:hAnsi="Arial" w:cs="Arial"/>
          <w:sz w:val="20"/>
        </w:rPr>
        <w:t xml:space="preserve">, possui inúmeras atribuições e o fato de acumular também as funções de outras pastas, tornará impossível a boa gestão da Educação, que por se tratar de uma secretaria de enorme importância, necessita uma gestão independente. </w:t>
      </w:r>
    </w:p>
    <w:p w:rsidR="002B129E" w:rsidRPr="002B129E" w:rsidRDefault="002B129E" w:rsidP="002B129E">
      <w:pPr>
        <w:ind w:left="2268"/>
        <w:jc w:val="both"/>
        <w:rPr>
          <w:rFonts w:ascii="Arial" w:hAnsi="Arial" w:cs="Arial"/>
          <w:sz w:val="20"/>
        </w:rPr>
      </w:pPr>
      <w:r w:rsidRPr="002B129E">
        <w:rPr>
          <w:rFonts w:ascii="Arial" w:hAnsi="Arial" w:cs="Arial"/>
          <w:sz w:val="20"/>
        </w:rPr>
        <w:t xml:space="preserve">Permitir que o Secretário Adjunto de Cultura e o Secretário Adjunto de Esporte e Lazer desempenhem o auxílio e até a substituição do Secretário de Educação, abrirá possiblidade de, no futuro, ocorrer </w:t>
      </w:r>
      <w:proofErr w:type="gramStart"/>
      <w:r w:rsidRPr="002B129E">
        <w:rPr>
          <w:rFonts w:ascii="Arial" w:hAnsi="Arial" w:cs="Arial"/>
          <w:sz w:val="20"/>
        </w:rPr>
        <w:t>a</w:t>
      </w:r>
      <w:proofErr w:type="gramEnd"/>
      <w:r w:rsidRPr="002B129E">
        <w:rPr>
          <w:rFonts w:ascii="Arial" w:hAnsi="Arial" w:cs="Arial"/>
          <w:sz w:val="20"/>
        </w:rPr>
        <w:t xml:space="preserve"> junção das Secretarias de Cultura, Esporte e Educação.</w:t>
      </w:r>
    </w:p>
    <w:p w:rsidR="00CC5359" w:rsidRDefault="002B129E" w:rsidP="002B129E">
      <w:pPr>
        <w:ind w:left="2268"/>
        <w:jc w:val="both"/>
        <w:rPr>
          <w:rFonts w:ascii="Arial" w:hAnsi="Arial" w:cs="Arial"/>
          <w:sz w:val="20"/>
        </w:rPr>
      </w:pPr>
      <w:r w:rsidRPr="002B129E">
        <w:rPr>
          <w:rFonts w:ascii="Arial" w:hAnsi="Arial" w:cs="Arial"/>
          <w:sz w:val="20"/>
        </w:rPr>
        <w:t xml:space="preserve">Visando a independência das secretarias e impedindo que a economia fale mais alto que o direito </w:t>
      </w:r>
      <w:proofErr w:type="gramStart"/>
      <w:r w:rsidRPr="002B129E">
        <w:rPr>
          <w:rFonts w:ascii="Arial" w:hAnsi="Arial" w:cs="Arial"/>
          <w:sz w:val="20"/>
        </w:rPr>
        <w:t>à</w:t>
      </w:r>
      <w:proofErr w:type="gramEnd"/>
      <w:r w:rsidRPr="002B129E">
        <w:rPr>
          <w:rFonts w:ascii="Arial" w:hAnsi="Arial" w:cs="Arial"/>
          <w:sz w:val="20"/>
        </w:rPr>
        <w:t xml:space="preserve"> uma educação de qualidade, desenvolvimento cultural da cidade e fomento da atividade esportiva no município, faz-se necessário a apresentação desta emenda.</w:t>
      </w:r>
    </w:p>
    <w:p w:rsidR="00E23576" w:rsidRDefault="00E23576" w:rsidP="00E23576">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Da análise da mes</w:t>
      </w:r>
      <w:r w:rsidR="00E23576">
        <w:rPr>
          <w:rFonts w:ascii="Arial" w:hAnsi="Arial" w:cs="Arial"/>
        </w:rPr>
        <w:t>m</w:t>
      </w:r>
      <w:r>
        <w:rPr>
          <w:rFonts w:ascii="Arial" w:hAnsi="Arial" w:cs="Arial"/>
        </w:rPr>
        <w:t>a se v</w:t>
      </w:r>
      <w:r w:rsidR="00E23576">
        <w:rPr>
          <w:rFonts w:ascii="Arial" w:hAnsi="Arial" w:cs="Arial"/>
        </w:rPr>
        <w:t xml:space="preserve">erifica que ao excluir os incisos I e II </w:t>
      </w:r>
      <w:r>
        <w:rPr>
          <w:rFonts w:ascii="Arial" w:hAnsi="Arial" w:cs="Arial"/>
        </w:rPr>
        <w:t xml:space="preserve">do </w:t>
      </w:r>
      <w:r w:rsidR="008E3C9E">
        <w:rPr>
          <w:rFonts w:ascii="Arial" w:hAnsi="Arial" w:cs="Arial"/>
        </w:rPr>
        <w:t>anexo único</w:t>
      </w:r>
      <w:r w:rsidR="00E47F96">
        <w:rPr>
          <w:rFonts w:ascii="Arial" w:hAnsi="Arial" w:cs="Arial"/>
        </w:rPr>
        <w:t>,</w:t>
      </w:r>
      <w:r>
        <w:rPr>
          <w:rFonts w:ascii="Arial" w:hAnsi="Arial" w:cs="Arial"/>
        </w:rPr>
        <w:t xml:space="preserve"> da presente proposição</w:t>
      </w:r>
      <w:r w:rsidR="00E47F96">
        <w:rPr>
          <w:rFonts w:ascii="Arial" w:hAnsi="Arial" w:cs="Arial"/>
        </w:rPr>
        <w:t>,</w:t>
      </w:r>
      <w:r>
        <w:rPr>
          <w:rFonts w:ascii="Arial" w:hAnsi="Arial" w:cs="Arial"/>
        </w:rPr>
        <w:t xml:space="preserve"> </w:t>
      </w:r>
      <w:r w:rsidR="008E3C9E">
        <w:rPr>
          <w:rFonts w:ascii="Arial" w:hAnsi="Arial" w:cs="Arial"/>
        </w:rPr>
        <w:t xml:space="preserve">referente aos cargos de Secretário Adjunto de Cultura e Secretário Adjunto de Esportes e Lazer, o que se pretende é impedir a </w:t>
      </w:r>
      <w:r>
        <w:rPr>
          <w:rFonts w:ascii="Arial" w:hAnsi="Arial" w:cs="Arial"/>
        </w:rPr>
        <w:t xml:space="preserve">extinção do cargo de Secretário Municipal de </w:t>
      </w:r>
      <w:r w:rsidR="00E47F96">
        <w:rPr>
          <w:rFonts w:ascii="Arial" w:hAnsi="Arial" w:cs="Arial"/>
        </w:rPr>
        <w:t xml:space="preserve">Esportes e Lazer, bem como </w:t>
      </w:r>
      <w:r w:rsidR="008E3C9E">
        <w:rPr>
          <w:rFonts w:ascii="Arial" w:hAnsi="Arial" w:cs="Arial"/>
        </w:rPr>
        <w:t xml:space="preserve">do cargo de Secretário Municipal </w:t>
      </w:r>
      <w:r w:rsidR="00E47F96">
        <w:rPr>
          <w:rFonts w:ascii="Arial" w:hAnsi="Arial" w:cs="Arial"/>
        </w:rPr>
        <w:t>de Cultura e Juventude</w:t>
      </w:r>
      <w:r>
        <w:rPr>
          <w:rFonts w:ascii="Arial" w:hAnsi="Arial" w:cs="Arial"/>
        </w:rPr>
        <w:t>.</w:t>
      </w:r>
    </w:p>
    <w:p w:rsidR="00415F44" w:rsidRDefault="00415F44"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Esta</w:t>
      </w:r>
      <w:r w:rsidR="00E47F96">
        <w:rPr>
          <w:rFonts w:ascii="Arial" w:hAnsi="Arial" w:cs="Arial"/>
        </w:rPr>
        <w:t>s</w:t>
      </w:r>
      <w:r>
        <w:rPr>
          <w:rFonts w:ascii="Arial" w:hAnsi="Arial" w:cs="Arial"/>
        </w:rPr>
        <w:t xml:space="preserve"> supress</w:t>
      </w:r>
      <w:r w:rsidR="00E47F96">
        <w:rPr>
          <w:rFonts w:ascii="Arial" w:hAnsi="Arial" w:cs="Arial"/>
        </w:rPr>
        <w:t>ões</w:t>
      </w:r>
      <w:proofErr w:type="gramStart"/>
      <w:r>
        <w:rPr>
          <w:rFonts w:ascii="Arial" w:hAnsi="Arial" w:cs="Arial"/>
        </w:rPr>
        <w:t>, implicaria</w:t>
      </w:r>
      <w:r w:rsidR="008E3C9E">
        <w:rPr>
          <w:rFonts w:ascii="Arial" w:hAnsi="Arial" w:cs="Arial"/>
        </w:rPr>
        <w:t>m</w:t>
      </w:r>
      <w:proofErr w:type="gramEnd"/>
      <w:r>
        <w:rPr>
          <w:rFonts w:ascii="Arial" w:hAnsi="Arial" w:cs="Arial"/>
        </w:rPr>
        <w:t xml:space="preserve"> na manutenção da Secretaria Municipal de </w:t>
      </w:r>
      <w:r w:rsidR="00E47F96">
        <w:rPr>
          <w:rFonts w:ascii="Arial" w:hAnsi="Arial" w:cs="Arial"/>
        </w:rPr>
        <w:t xml:space="preserve">Esportes e Lazer </w:t>
      </w:r>
      <w:r>
        <w:rPr>
          <w:rFonts w:ascii="Arial" w:hAnsi="Arial" w:cs="Arial"/>
        </w:rPr>
        <w:t xml:space="preserve">e </w:t>
      </w:r>
      <w:r w:rsidR="00E47F96">
        <w:rPr>
          <w:rFonts w:ascii="Arial" w:hAnsi="Arial" w:cs="Arial"/>
        </w:rPr>
        <w:t xml:space="preserve">respectivo cargo de seu titular e </w:t>
      </w:r>
      <w:r w:rsidR="008E3C9E">
        <w:rPr>
          <w:rFonts w:ascii="Arial" w:hAnsi="Arial" w:cs="Arial"/>
        </w:rPr>
        <w:t>igualmente do S</w:t>
      </w:r>
      <w:r w:rsidR="00E47F96">
        <w:rPr>
          <w:rFonts w:ascii="Arial" w:hAnsi="Arial" w:cs="Arial"/>
        </w:rPr>
        <w:t>e</w:t>
      </w:r>
      <w:r w:rsidR="008E3C9E">
        <w:rPr>
          <w:rFonts w:ascii="Arial" w:hAnsi="Arial" w:cs="Arial"/>
        </w:rPr>
        <w:t>cretário de Cultura e Juventude.</w:t>
      </w:r>
    </w:p>
    <w:p w:rsidR="008E3C9E" w:rsidRDefault="008E3C9E"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A análise das emendas deve se dar no âmbito do projeto de lei proposto, já que a iniciativa deste tipo de projeto é exclusiva do Prefeito. No presente caso não consta do impacto, apresentado junto ao projeto, a possibilidade de recriação ou criação de qualquer despesa. Ao retirar a extinção de um cargo</w:t>
      </w:r>
      <w:r w:rsidR="00E47F96">
        <w:rPr>
          <w:rFonts w:ascii="Arial" w:hAnsi="Arial" w:cs="Arial"/>
        </w:rPr>
        <w:t xml:space="preserve">, </w:t>
      </w:r>
      <w:r>
        <w:rPr>
          <w:rFonts w:ascii="Arial" w:hAnsi="Arial" w:cs="Arial"/>
        </w:rPr>
        <w:t>fatalmente haverá o aumento da despesa e impacto financeiro.</w:t>
      </w:r>
    </w:p>
    <w:p w:rsidR="00415F44" w:rsidRDefault="00415F44" w:rsidP="00040F57">
      <w:pPr>
        <w:ind w:firstLine="2268"/>
        <w:jc w:val="both"/>
        <w:rPr>
          <w:rFonts w:ascii="Arial" w:hAnsi="Arial" w:cs="Arial"/>
        </w:rPr>
      </w:pPr>
    </w:p>
    <w:p w:rsidR="004D1B77" w:rsidRPr="00CB1B7C" w:rsidRDefault="00CF4F42" w:rsidP="00CF4F42">
      <w:pPr>
        <w:pStyle w:val="PargrafodaLista"/>
        <w:ind w:left="0" w:firstLine="2268"/>
        <w:jc w:val="both"/>
        <w:rPr>
          <w:rFonts w:ascii="Arial" w:hAnsi="Arial" w:cs="Arial"/>
          <w:color w:val="000000"/>
          <w:lang w:eastAsia="ar-SA"/>
        </w:rPr>
      </w:pPr>
      <w:r>
        <w:rPr>
          <w:rFonts w:ascii="Arial" w:hAnsi="Arial" w:cs="Arial"/>
          <w:color w:val="000000"/>
          <w:lang w:eastAsia="ar-SA"/>
        </w:rPr>
        <w:lastRenderedPageBreak/>
        <w:t xml:space="preserve">Novamente, </w:t>
      </w:r>
      <w:r w:rsidR="004D1B77" w:rsidRPr="00CB1B7C">
        <w:rPr>
          <w:rFonts w:ascii="Arial" w:hAnsi="Arial" w:cs="Arial"/>
          <w:color w:val="000000"/>
          <w:lang w:eastAsia="ar-SA"/>
        </w:rPr>
        <w:t>analisando a tríade limitativa das emendas temos que:</w:t>
      </w:r>
    </w:p>
    <w:p w:rsidR="004D1B77" w:rsidRPr="00CB1B7C" w:rsidRDefault="004D1B77" w:rsidP="004D1B77">
      <w:pPr>
        <w:pStyle w:val="PargrafodaLista"/>
        <w:ind w:left="2268"/>
        <w:jc w:val="both"/>
        <w:rPr>
          <w:rFonts w:ascii="Arial" w:hAnsi="Arial" w:cs="Arial"/>
        </w:rPr>
      </w:pPr>
    </w:p>
    <w:p w:rsidR="004D1B77" w:rsidRPr="00CB1B7C" w:rsidRDefault="00CF4F42" w:rsidP="004D1B77">
      <w:pPr>
        <w:pStyle w:val="PargrafodaLista"/>
        <w:ind w:left="0" w:firstLine="2268"/>
        <w:jc w:val="both"/>
        <w:rPr>
          <w:rFonts w:ascii="Arial" w:hAnsi="Arial" w:cs="Arial"/>
        </w:rPr>
      </w:pPr>
      <w:r>
        <w:rPr>
          <w:rFonts w:ascii="Arial" w:hAnsi="Arial" w:cs="Arial"/>
        </w:rPr>
        <w:t>E</w:t>
      </w:r>
      <w:r w:rsidR="004D1B77" w:rsidRPr="00CB1B7C">
        <w:rPr>
          <w:rFonts w:ascii="Arial" w:hAnsi="Arial" w:cs="Arial"/>
        </w:rPr>
        <w:t xml:space="preserve">stá ocorrendo aumento de despesas, uma vez que a projeção </w:t>
      </w:r>
      <w:r>
        <w:rPr>
          <w:rFonts w:ascii="Arial" w:hAnsi="Arial" w:cs="Arial"/>
        </w:rPr>
        <w:t xml:space="preserve">não </w:t>
      </w:r>
      <w:r w:rsidR="004D1B77" w:rsidRPr="00CB1B7C">
        <w:rPr>
          <w:rFonts w:ascii="Arial" w:hAnsi="Arial" w:cs="Arial"/>
        </w:rPr>
        <w:t xml:space="preserve">comtempla o pagamento </w:t>
      </w:r>
      <w:r>
        <w:rPr>
          <w:rFonts w:ascii="Arial" w:hAnsi="Arial" w:cs="Arial"/>
        </w:rPr>
        <w:t xml:space="preserve">do cargo de Secretário Municipal de </w:t>
      </w:r>
      <w:r w:rsidR="00F522F9">
        <w:rPr>
          <w:rFonts w:ascii="Arial" w:hAnsi="Arial" w:cs="Arial"/>
        </w:rPr>
        <w:t>Esportes e Lazer, bem como do Secretário de Cultura.</w:t>
      </w:r>
    </w:p>
    <w:p w:rsidR="004D1B77" w:rsidRPr="00CB1B7C" w:rsidRDefault="004D1B77" w:rsidP="004D1B77">
      <w:pPr>
        <w:pStyle w:val="PargrafodaLista"/>
        <w:ind w:left="0" w:firstLine="2268"/>
        <w:jc w:val="both"/>
        <w:rPr>
          <w:rFonts w:ascii="Arial" w:hAnsi="Arial" w:cs="Arial"/>
        </w:rPr>
      </w:pPr>
    </w:p>
    <w:p w:rsidR="00CF4F42" w:rsidRDefault="00CF4F42" w:rsidP="004D1B77">
      <w:pPr>
        <w:pStyle w:val="PargrafodaLista"/>
        <w:ind w:left="0" w:firstLine="2268"/>
        <w:jc w:val="both"/>
        <w:rPr>
          <w:rFonts w:ascii="Arial" w:hAnsi="Arial" w:cs="Arial"/>
        </w:rPr>
      </w:pPr>
      <w:r>
        <w:rPr>
          <w:rFonts w:ascii="Arial" w:hAnsi="Arial" w:cs="Arial"/>
        </w:rPr>
        <w:t>Há</w:t>
      </w:r>
      <w:r w:rsidR="00F11A8A">
        <w:rPr>
          <w:rFonts w:ascii="Arial" w:hAnsi="Arial" w:cs="Arial"/>
        </w:rPr>
        <w:t>,</w:t>
      </w:r>
      <w:r>
        <w:rPr>
          <w:rFonts w:ascii="Arial" w:hAnsi="Arial" w:cs="Arial"/>
        </w:rPr>
        <w:t xml:space="preserve"> assim, ofensa ao art. 63 da Constituição Federal, bem como ao art. 76 da LOM e, à própria jurisprudência do STF e doutrinas aqui citadas.</w:t>
      </w:r>
    </w:p>
    <w:p w:rsidR="00CF4F42" w:rsidRDefault="00CF4F42" w:rsidP="004D1B77">
      <w:pPr>
        <w:pStyle w:val="PargrafodaLista"/>
        <w:ind w:left="0" w:firstLine="2268"/>
        <w:jc w:val="both"/>
        <w:rPr>
          <w:rFonts w:ascii="Arial" w:hAnsi="Arial" w:cs="Arial"/>
        </w:rPr>
      </w:pPr>
    </w:p>
    <w:p w:rsidR="00CF4F42" w:rsidRDefault="00CF4F42" w:rsidP="004D1B77">
      <w:pPr>
        <w:pStyle w:val="PargrafodaLista"/>
        <w:ind w:left="0" w:firstLine="2268"/>
        <w:jc w:val="both"/>
        <w:rPr>
          <w:rFonts w:ascii="Arial" w:hAnsi="Arial" w:cs="Arial"/>
        </w:rPr>
      </w:pPr>
      <w:r>
        <w:rPr>
          <w:rFonts w:ascii="Arial" w:hAnsi="Arial" w:cs="Arial"/>
        </w:rPr>
        <w:t>Esta emenda também pode ser entendida como ampliativa, já que vai além do proposto pelo Executivo para o número de secretarias municipais.</w:t>
      </w:r>
    </w:p>
    <w:p w:rsidR="00CF4F42" w:rsidRDefault="00CF4F42" w:rsidP="004D1B77">
      <w:pPr>
        <w:pStyle w:val="PargrafodaLista"/>
        <w:ind w:left="0" w:firstLine="2268"/>
        <w:jc w:val="both"/>
        <w:rPr>
          <w:rFonts w:ascii="Arial" w:hAnsi="Arial" w:cs="Arial"/>
        </w:rPr>
      </w:pPr>
    </w:p>
    <w:p w:rsidR="004D1B77" w:rsidRDefault="00CF4F42" w:rsidP="004D1B77">
      <w:pPr>
        <w:pStyle w:val="PargrafodaLista"/>
        <w:ind w:left="0" w:firstLine="2268"/>
        <w:jc w:val="both"/>
        <w:rPr>
          <w:rFonts w:ascii="Arial" w:hAnsi="Arial" w:cs="Arial"/>
        </w:rPr>
      </w:pPr>
      <w:r>
        <w:rPr>
          <w:rFonts w:ascii="Arial" w:hAnsi="Arial" w:cs="Arial"/>
        </w:rPr>
        <w:t xml:space="preserve">Em que pese </w:t>
      </w:r>
      <w:proofErr w:type="gramStart"/>
      <w:r>
        <w:rPr>
          <w:rFonts w:ascii="Arial" w:hAnsi="Arial" w:cs="Arial"/>
        </w:rPr>
        <w:t>a</w:t>
      </w:r>
      <w:proofErr w:type="gramEnd"/>
      <w:r>
        <w:rPr>
          <w:rFonts w:ascii="Arial" w:hAnsi="Arial" w:cs="Arial"/>
        </w:rPr>
        <w:t xml:space="preserve"> importância </w:t>
      </w:r>
      <w:r w:rsidR="00F11A8A">
        <w:rPr>
          <w:rFonts w:ascii="Arial" w:hAnsi="Arial" w:cs="Arial"/>
        </w:rPr>
        <w:t>da manutenção da Secretaria de Esportes</w:t>
      </w:r>
      <w:r w:rsidR="000B7BF3">
        <w:rPr>
          <w:rFonts w:ascii="Arial" w:hAnsi="Arial" w:cs="Arial"/>
        </w:rPr>
        <w:t xml:space="preserve"> e Cultura</w:t>
      </w:r>
      <w:r>
        <w:rPr>
          <w:rFonts w:ascii="Arial" w:hAnsi="Arial" w:cs="Arial"/>
        </w:rPr>
        <w:t xml:space="preserve">, </w:t>
      </w:r>
      <w:r w:rsidR="00F11A8A">
        <w:rPr>
          <w:rFonts w:ascii="Arial" w:hAnsi="Arial" w:cs="Arial"/>
        </w:rPr>
        <w:t xml:space="preserve">que </w:t>
      </w:r>
      <w:r w:rsidR="000B7BF3">
        <w:rPr>
          <w:rFonts w:ascii="Arial" w:hAnsi="Arial" w:cs="Arial"/>
        </w:rPr>
        <w:t xml:space="preserve">são </w:t>
      </w:r>
      <w:r w:rsidR="00F11A8A">
        <w:rPr>
          <w:rFonts w:ascii="Arial" w:hAnsi="Arial" w:cs="Arial"/>
        </w:rPr>
        <w:t>extremamente importante</w:t>
      </w:r>
      <w:r w:rsidR="000B7BF3">
        <w:rPr>
          <w:rFonts w:ascii="Arial" w:hAnsi="Arial" w:cs="Arial"/>
        </w:rPr>
        <w:t xml:space="preserve">s </w:t>
      </w:r>
      <w:r w:rsidR="00F11A8A">
        <w:rPr>
          <w:rFonts w:ascii="Arial" w:hAnsi="Arial" w:cs="Arial"/>
        </w:rPr>
        <w:t xml:space="preserve">para o </w:t>
      </w:r>
      <w:r w:rsidR="00CD5820">
        <w:rPr>
          <w:rFonts w:ascii="Arial" w:hAnsi="Arial" w:cs="Arial"/>
        </w:rPr>
        <w:t>bem-estar</w:t>
      </w:r>
      <w:r w:rsidR="00F11A8A">
        <w:rPr>
          <w:rFonts w:ascii="Arial" w:hAnsi="Arial" w:cs="Arial"/>
        </w:rPr>
        <w:t xml:space="preserve"> da população</w:t>
      </w:r>
      <w:r>
        <w:rPr>
          <w:rFonts w:ascii="Arial" w:hAnsi="Arial" w:cs="Arial"/>
        </w:rPr>
        <w:t>, não podemos, infelizmente, conceder a criação da mesma ou sua recriação, via emenda parlamentar. No entanto, rogamos para que o tema seja revisto pelo Prefeito Municipal em projeto de sua autoria.</w:t>
      </w:r>
    </w:p>
    <w:p w:rsidR="00CF4F42" w:rsidRPr="00CB1B7C" w:rsidRDefault="00CF4F42" w:rsidP="004D1B77">
      <w:pPr>
        <w:pStyle w:val="PargrafodaLista"/>
        <w:ind w:left="0"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Conclusão</w:t>
      </w:r>
    </w:p>
    <w:p w:rsidR="00577AA5" w:rsidRPr="00CB1B7C" w:rsidRDefault="00577AA5" w:rsidP="0092272F">
      <w:pPr>
        <w:ind w:firstLine="2268"/>
        <w:jc w:val="both"/>
        <w:rPr>
          <w:rFonts w:ascii="Arial" w:hAnsi="Arial" w:cs="Arial"/>
          <w:u w:val="single"/>
        </w:rPr>
      </w:pPr>
    </w:p>
    <w:p w:rsidR="00085DC8" w:rsidRPr="00CB1B7C" w:rsidRDefault="00085DC8" w:rsidP="005E5B30">
      <w:pPr>
        <w:ind w:firstLine="2268"/>
        <w:jc w:val="both"/>
        <w:rPr>
          <w:rFonts w:ascii="Arial" w:hAnsi="Arial" w:cs="Arial"/>
        </w:rPr>
      </w:pPr>
      <w:r w:rsidRPr="00CB1B7C">
        <w:rPr>
          <w:rFonts w:ascii="Arial" w:hAnsi="Arial" w:cs="Arial"/>
        </w:rPr>
        <w:t xml:space="preserve">Em face do exposto, este relator entende que </w:t>
      </w:r>
      <w:r w:rsidR="005E5B30" w:rsidRPr="00CB1B7C">
        <w:rPr>
          <w:rFonts w:ascii="Arial" w:hAnsi="Arial" w:cs="Arial"/>
        </w:rPr>
        <w:t xml:space="preserve">a Emenda </w:t>
      </w:r>
      <w:r w:rsidR="00F11A8A">
        <w:rPr>
          <w:rFonts w:ascii="Arial" w:hAnsi="Arial" w:cs="Arial"/>
        </w:rPr>
        <w:t>Supressiva</w:t>
      </w:r>
      <w:r w:rsidR="005E5B30" w:rsidRPr="00CB1B7C">
        <w:rPr>
          <w:rFonts w:ascii="Arial" w:hAnsi="Arial" w:cs="Arial"/>
        </w:rPr>
        <w:t xml:space="preserve"> n.º 0</w:t>
      </w:r>
      <w:r w:rsidR="000B7BF3">
        <w:rPr>
          <w:rFonts w:ascii="Arial" w:hAnsi="Arial" w:cs="Arial"/>
        </w:rPr>
        <w:t>1</w:t>
      </w:r>
      <w:r w:rsidR="005E5B30" w:rsidRPr="00CB1B7C">
        <w:rPr>
          <w:rFonts w:ascii="Arial" w:hAnsi="Arial" w:cs="Arial"/>
        </w:rPr>
        <w:t xml:space="preserve">, </w:t>
      </w:r>
      <w:r w:rsidR="00CF4F42">
        <w:rPr>
          <w:rFonts w:ascii="Arial" w:hAnsi="Arial" w:cs="Arial"/>
        </w:rPr>
        <w:t>est</w:t>
      </w:r>
      <w:r w:rsidR="000B7BF3">
        <w:rPr>
          <w:rFonts w:ascii="Arial" w:hAnsi="Arial" w:cs="Arial"/>
        </w:rPr>
        <w:t>á</w:t>
      </w:r>
      <w:r w:rsidR="00CF4F42">
        <w:rPr>
          <w:rFonts w:ascii="Arial" w:hAnsi="Arial" w:cs="Arial"/>
        </w:rPr>
        <w:t xml:space="preserve"> eivada de ilegalidades e inconstitucionalidades sendo </w:t>
      </w:r>
      <w:proofErr w:type="gramStart"/>
      <w:r w:rsidR="00CF4F42">
        <w:rPr>
          <w:rFonts w:ascii="Arial" w:hAnsi="Arial" w:cs="Arial"/>
        </w:rPr>
        <w:t>contrário a continuidade do trâmite da mesma</w:t>
      </w:r>
      <w:proofErr w:type="gramEnd"/>
      <w:r w:rsidR="00235AD7" w:rsidRPr="00CB1B7C">
        <w:rPr>
          <w:rFonts w:ascii="Arial" w:hAnsi="Arial" w:cs="Arial"/>
        </w:rPr>
        <w:t>.</w:t>
      </w:r>
    </w:p>
    <w:p w:rsidR="00B442A0" w:rsidRPr="00CB1B7C" w:rsidRDefault="00B442A0" w:rsidP="0092272F">
      <w:pPr>
        <w:ind w:firstLine="2268"/>
        <w:jc w:val="both"/>
        <w:rPr>
          <w:rFonts w:ascii="Arial" w:hAnsi="Arial" w:cs="Arial"/>
        </w:rPr>
      </w:pPr>
    </w:p>
    <w:p w:rsidR="00577AA5" w:rsidRPr="00CB1B7C" w:rsidRDefault="000D78D4" w:rsidP="0092272F">
      <w:pPr>
        <w:ind w:firstLine="2268"/>
        <w:jc w:val="both"/>
        <w:rPr>
          <w:rFonts w:ascii="Arial" w:hAnsi="Arial" w:cs="Arial"/>
        </w:rPr>
      </w:pPr>
      <w:r w:rsidRPr="00CB1B7C">
        <w:rPr>
          <w:rFonts w:ascii="Arial" w:hAnsi="Arial" w:cs="Arial"/>
        </w:rPr>
        <w:t xml:space="preserve">Sala das Reuniões, </w:t>
      </w:r>
      <w:r w:rsidR="005E5B30" w:rsidRPr="00CB1B7C">
        <w:rPr>
          <w:rFonts w:ascii="Arial" w:hAnsi="Arial" w:cs="Arial"/>
        </w:rPr>
        <w:t>23</w:t>
      </w:r>
      <w:r w:rsidR="00F8604C" w:rsidRPr="00CB1B7C">
        <w:rPr>
          <w:rFonts w:ascii="Arial" w:hAnsi="Arial" w:cs="Arial"/>
        </w:rPr>
        <w:t xml:space="preserve"> </w:t>
      </w:r>
      <w:r w:rsidRPr="00CB1B7C">
        <w:rPr>
          <w:rFonts w:ascii="Arial" w:hAnsi="Arial" w:cs="Arial"/>
        </w:rPr>
        <w:t xml:space="preserve">de </w:t>
      </w:r>
      <w:r w:rsidR="005E5B30" w:rsidRPr="00CB1B7C">
        <w:rPr>
          <w:rFonts w:ascii="Arial" w:hAnsi="Arial" w:cs="Arial"/>
        </w:rPr>
        <w:t xml:space="preserve">setembro </w:t>
      </w:r>
      <w:r w:rsidRPr="00CB1B7C">
        <w:rPr>
          <w:rFonts w:ascii="Arial" w:hAnsi="Arial" w:cs="Arial"/>
        </w:rPr>
        <w:t>de 201</w:t>
      </w:r>
      <w:r w:rsidR="00081423" w:rsidRPr="00CB1B7C">
        <w:rPr>
          <w:rFonts w:ascii="Arial" w:hAnsi="Arial" w:cs="Arial"/>
        </w:rPr>
        <w:t>9</w:t>
      </w:r>
      <w:r w:rsidR="00577AA5" w:rsidRPr="00CB1B7C">
        <w:rPr>
          <w:rFonts w:ascii="Arial" w:hAnsi="Arial" w:cs="Arial"/>
        </w:rPr>
        <w:t>.</w:t>
      </w:r>
    </w:p>
    <w:p w:rsidR="00577AA5" w:rsidRPr="00CB1B7C" w:rsidRDefault="00577AA5" w:rsidP="0092272F">
      <w:pPr>
        <w:ind w:firstLine="2268"/>
        <w:rPr>
          <w:rFonts w:ascii="Arial" w:hAnsi="Arial" w:cs="Arial"/>
          <w:b/>
          <w:bCs/>
        </w:rPr>
      </w:pPr>
    </w:p>
    <w:p w:rsidR="006C6410" w:rsidRPr="00CB1B7C" w:rsidRDefault="006C6410" w:rsidP="006C6410">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Euro de Andrade Lanza</w:t>
      </w:r>
    </w:p>
    <w:p w:rsidR="00F8604C" w:rsidRPr="00CB1B7C" w:rsidRDefault="006C6410" w:rsidP="006C6410">
      <w:pPr>
        <w:ind w:left="2268"/>
        <w:rPr>
          <w:rFonts w:ascii="Arial" w:hAnsi="Arial" w:cs="Arial"/>
        </w:rPr>
      </w:pPr>
      <w:r w:rsidRPr="00CB1B7C">
        <w:rPr>
          <w:rFonts w:ascii="Arial" w:hAnsi="Arial" w:cs="Arial"/>
        </w:rPr>
        <w:t>Relator-CLJ</w:t>
      </w:r>
    </w:p>
    <w:p w:rsidR="00D9725D" w:rsidRPr="00CB1B7C" w:rsidRDefault="00D9725D" w:rsidP="006C6410">
      <w:pPr>
        <w:ind w:left="2268"/>
        <w:rPr>
          <w:rFonts w:ascii="Arial" w:hAnsi="Arial" w:cs="Arial"/>
        </w:rPr>
      </w:pP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V</w:t>
      </w:r>
      <w:proofErr w:type="gramStart"/>
      <w:r w:rsidRPr="00CB1B7C">
        <w:rPr>
          <w:rFonts w:ascii="Arial" w:hAnsi="Arial" w:cs="Arial"/>
        </w:rPr>
        <w:t xml:space="preserve">  </w:t>
      </w:r>
      <w:proofErr w:type="gramEnd"/>
      <w:r w:rsidRPr="00CB1B7C">
        <w:rPr>
          <w:rFonts w:ascii="Arial" w:hAnsi="Arial" w:cs="Arial"/>
        </w:rPr>
        <w:t>O T O S</w:t>
      </w: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De acordo com o relator.</w:t>
      </w:r>
    </w:p>
    <w:p w:rsidR="00290891" w:rsidRPr="00CB1B7C" w:rsidRDefault="00290891" w:rsidP="00F8604C">
      <w:pPr>
        <w:ind w:left="2268"/>
        <w:rPr>
          <w:rFonts w:ascii="Arial" w:hAnsi="Arial" w:cs="Arial"/>
        </w:rPr>
      </w:pPr>
    </w:p>
    <w:p w:rsidR="006C6410" w:rsidRPr="00CB1B7C" w:rsidRDefault="00FC65C9" w:rsidP="006C6410">
      <w:pPr>
        <w:ind w:left="2268"/>
        <w:rPr>
          <w:rFonts w:ascii="Arial" w:hAnsi="Arial" w:cs="Arial"/>
        </w:rPr>
      </w:pPr>
      <w:r w:rsidRPr="00CB1B7C">
        <w:rPr>
          <w:rFonts w:ascii="Arial" w:hAnsi="Arial" w:cs="Arial"/>
        </w:rPr>
        <w:t>Marli Aparecida Barbosa</w:t>
      </w:r>
    </w:p>
    <w:p w:rsidR="00F8604C" w:rsidRPr="00CB1B7C" w:rsidRDefault="006C6410" w:rsidP="006C6410">
      <w:pPr>
        <w:ind w:left="2268"/>
        <w:rPr>
          <w:rFonts w:ascii="Arial" w:hAnsi="Arial" w:cs="Arial"/>
        </w:rPr>
      </w:pPr>
      <w:r w:rsidRPr="00CB1B7C">
        <w:rPr>
          <w:rFonts w:ascii="Arial" w:hAnsi="Arial" w:cs="Arial"/>
        </w:rPr>
        <w:t>Presidente CLJ</w:t>
      </w:r>
    </w:p>
    <w:p w:rsidR="006C6410" w:rsidRPr="00CB1B7C" w:rsidRDefault="006C6410" w:rsidP="006C6410">
      <w:pPr>
        <w:ind w:left="2268"/>
        <w:rPr>
          <w:rFonts w:ascii="Arial" w:hAnsi="Arial" w:cs="Arial"/>
        </w:rPr>
      </w:pPr>
    </w:p>
    <w:p w:rsidR="006C6410" w:rsidRPr="00CB1B7C" w:rsidRDefault="006C6410" w:rsidP="00634354">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José Pereira da Silva</w:t>
      </w:r>
    </w:p>
    <w:p w:rsidR="006C6410" w:rsidRPr="00CB1B7C" w:rsidRDefault="006C6410" w:rsidP="006C6410">
      <w:pPr>
        <w:ind w:left="2268"/>
        <w:rPr>
          <w:rFonts w:ascii="Arial" w:hAnsi="Arial" w:cs="Arial"/>
        </w:rPr>
      </w:pPr>
      <w:r w:rsidRPr="00CB1B7C">
        <w:rPr>
          <w:rFonts w:ascii="Arial" w:hAnsi="Arial" w:cs="Arial"/>
        </w:rPr>
        <w:t xml:space="preserve">Vogal CLJ </w:t>
      </w:r>
    </w:p>
    <w:p w:rsidR="00FC65C9" w:rsidRPr="00CB1B7C" w:rsidRDefault="00FC65C9" w:rsidP="006C6410">
      <w:pPr>
        <w:ind w:left="2268"/>
        <w:rPr>
          <w:rFonts w:ascii="Arial" w:hAnsi="Arial" w:cs="Arial"/>
        </w:rPr>
      </w:pPr>
    </w:p>
    <w:sectPr w:rsidR="00FC65C9" w:rsidRPr="00CB1B7C" w:rsidSect="00EA6A1A">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86" w:rsidRDefault="00410A86" w:rsidP="00D055E5">
      <w:r>
        <w:separator/>
      </w:r>
    </w:p>
  </w:endnote>
  <w:endnote w:type="continuationSeparator" w:id="0">
    <w:p w:rsidR="00410A86" w:rsidRDefault="00410A86" w:rsidP="00D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86" w:rsidRDefault="00410A86" w:rsidP="00D055E5">
      <w:r>
        <w:separator/>
      </w:r>
    </w:p>
  </w:footnote>
  <w:footnote w:type="continuationSeparator" w:id="0">
    <w:p w:rsidR="00410A86" w:rsidRDefault="00410A86" w:rsidP="00D055E5">
      <w:r>
        <w:continuationSeparator/>
      </w:r>
    </w:p>
  </w:footnote>
  <w:footnote w:id="1">
    <w:p w:rsidR="007D3DD2" w:rsidRPr="00C85855" w:rsidRDefault="007D3DD2" w:rsidP="007D3DD2">
      <w:pPr>
        <w:pStyle w:val="Textodenotaderodap"/>
      </w:pPr>
      <w:r>
        <w:rPr>
          <w:rStyle w:val="Refdenotaderodap"/>
        </w:rPr>
        <w:footnoteRef/>
      </w:r>
      <w:r>
        <w:t xml:space="preserve"> CAVALCANTE, Márcio André Lopes. </w:t>
      </w:r>
      <w:proofErr w:type="spellStart"/>
      <w:r w:rsidRPr="00C85855">
        <w:rPr>
          <w:i/>
        </w:rPr>
        <w:t>Vade</w:t>
      </w:r>
      <w:proofErr w:type="spellEnd"/>
      <w:r>
        <w:rPr>
          <w:i/>
        </w:rPr>
        <w:t xml:space="preserve"> </w:t>
      </w:r>
      <w:proofErr w:type="spellStart"/>
      <w:r>
        <w:rPr>
          <w:i/>
        </w:rPr>
        <w:t>mecum</w:t>
      </w:r>
      <w:proofErr w:type="spellEnd"/>
      <w:r>
        <w:rPr>
          <w:i/>
        </w:rPr>
        <w:t xml:space="preserve"> de jurisprudência dizer o direito. </w:t>
      </w:r>
      <w:r>
        <w:t xml:space="preserve">2. Ed. rev. e </w:t>
      </w:r>
      <w:proofErr w:type="spellStart"/>
      <w:r>
        <w:t>ampl</w:t>
      </w:r>
      <w:proofErr w:type="spellEnd"/>
      <w:r>
        <w:t xml:space="preserve">. Salvador: </w:t>
      </w:r>
      <w:proofErr w:type="spellStart"/>
      <w:proofErr w:type="gramStart"/>
      <w:r>
        <w:t>JusPodivm</w:t>
      </w:r>
      <w:proofErr w:type="spellEnd"/>
      <w:proofErr w:type="gramEnd"/>
      <w:r>
        <w:t>, 2017. P. 68/69.</w:t>
      </w:r>
    </w:p>
  </w:footnote>
  <w:footnote w:id="2">
    <w:p w:rsidR="007D3DD2" w:rsidRPr="00F572B4" w:rsidRDefault="007D3DD2" w:rsidP="007D3DD2">
      <w:pPr>
        <w:pStyle w:val="Textodenotaderodap"/>
      </w:pPr>
      <w:r>
        <w:rPr>
          <w:rStyle w:val="Refdenotaderodap"/>
        </w:rPr>
        <w:footnoteRef/>
      </w:r>
      <w:r>
        <w:t xml:space="preserve"> MORAES, Alexandre de. </w:t>
      </w:r>
      <w:r>
        <w:rPr>
          <w:i/>
        </w:rPr>
        <w:t xml:space="preserve">Direito Constitucional. </w:t>
      </w:r>
      <w:r>
        <w:t>33. Ed. rev. atual. São Paulo: Atlas, 2017. P. 479/480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C6" w:rsidRPr="008D6C3E" w:rsidRDefault="006B27C6" w:rsidP="006B27C6">
    <w:pPr>
      <w:pStyle w:val="Cabealho"/>
      <w:jc w:val="center"/>
      <w:rPr>
        <w:b/>
        <w:sz w:val="28"/>
      </w:rPr>
    </w:pPr>
    <w:r>
      <w:rPr>
        <w:b/>
        <w:noProof/>
        <w:sz w:val="32"/>
      </w:rPr>
      <w:drawing>
        <wp:anchor distT="0" distB="0" distL="114300" distR="114300" simplePos="0" relativeHeight="251660288" behindDoc="1" locked="0" layoutInCell="1" allowOverlap="1" wp14:anchorId="479DAFDA" wp14:editId="077008B7">
          <wp:simplePos x="0" y="0"/>
          <wp:positionH relativeFrom="column">
            <wp:posOffset>5034915</wp:posOffset>
          </wp:positionH>
          <wp:positionV relativeFrom="paragraph">
            <wp:posOffset>-139700</wp:posOffset>
          </wp:positionV>
          <wp:extent cx="771525" cy="838200"/>
          <wp:effectExtent l="0" t="0" r="9525" b="0"/>
          <wp:wrapThrough wrapText="bothSides">
            <wp:wrapPolygon edited="0">
              <wp:start x="0" y="0"/>
              <wp:lineTo x="0" y="21109"/>
              <wp:lineTo x="21333" y="21109"/>
              <wp:lineTo x="21333" y="0"/>
              <wp:lineTo x="0" y="0"/>
            </wp:wrapPolygon>
          </wp:wrapThrough>
          <wp:docPr id="21" name="Imagem 2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rPr>
      <w:drawing>
        <wp:anchor distT="0" distB="0" distL="114300" distR="114300" simplePos="0" relativeHeight="251659264" behindDoc="1" locked="0" layoutInCell="1" allowOverlap="1" wp14:anchorId="700B0D6C" wp14:editId="730EEA3B">
          <wp:simplePos x="0" y="0"/>
          <wp:positionH relativeFrom="margin">
            <wp:posOffset>-466725</wp:posOffset>
          </wp:positionH>
          <wp:positionV relativeFrom="paragraph">
            <wp:posOffset>-186690</wp:posOffset>
          </wp:positionV>
          <wp:extent cx="902970" cy="902970"/>
          <wp:effectExtent l="0" t="0" r="0" b="0"/>
          <wp:wrapTight wrapText="bothSides">
            <wp:wrapPolygon edited="0">
              <wp:start x="0" y="0"/>
              <wp:lineTo x="0" y="20962"/>
              <wp:lineTo x="20962" y="20962"/>
              <wp:lineTo x="20962" y="0"/>
              <wp:lineTo x="0" y="0"/>
            </wp:wrapPolygon>
          </wp:wrapTight>
          <wp:docPr id="22" name="Imagem 2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6B27C6" w:rsidRDefault="006B27C6" w:rsidP="006B27C6">
    <w:pPr>
      <w:pStyle w:val="Cabealho"/>
      <w:jc w:val="center"/>
      <w:rPr>
        <w:sz w:val="20"/>
      </w:rPr>
    </w:pPr>
    <w:r w:rsidRPr="008D6C3E">
      <w:rPr>
        <w:sz w:val="20"/>
      </w:rPr>
      <w:t>ESTADO DE MINAS GERAIS</w:t>
    </w:r>
  </w:p>
  <w:p w:rsidR="006B27C6" w:rsidRDefault="006B27C6" w:rsidP="006B27C6">
    <w:pPr>
      <w:pStyle w:val="Cabealho"/>
      <w:jc w:val="center"/>
      <w:rPr>
        <w:sz w:val="18"/>
      </w:rPr>
    </w:pPr>
    <w:r>
      <w:rPr>
        <w:sz w:val="18"/>
      </w:rPr>
      <w:t xml:space="preserve">Rua Domingos </w:t>
    </w:r>
    <w:proofErr w:type="spellStart"/>
    <w:proofErr w:type="gramStart"/>
    <w:r>
      <w:rPr>
        <w:sz w:val="18"/>
      </w:rPr>
      <w:t>L’Ouverture</w:t>
    </w:r>
    <w:proofErr w:type="spellEnd"/>
    <w:proofErr w:type="gramEnd"/>
    <w:r w:rsidRPr="008D6C3E">
      <w:rPr>
        <w:sz w:val="18"/>
      </w:rPr>
      <w:t xml:space="preserve">, </w:t>
    </w:r>
    <w:r>
      <w:rPr>
        <w:sz w:val="18"/>
      </w:rPr>
      <w:t>335</w:t>
    </w:r>
    <w:r w:rsidRPr="008D6C3E">
      <w:rPr>
        <w:sz w:val="18"/>
      </w:rPr>
      <w:t xml:space="preserve">– </w:t>
    </w:r>
    <w:r>
      <w:rPr>
        <w:sz w:val="18"/>
      </w:rPr>
      <w:t>Bairro São Geraldo</w:t>
    </w:r>
    <w:r w:rsidRPr="008D6C3E">
      <w:rPr>
        <w:sz w:val="18"/>
      </w:rPr>
      <w:t xml:space="preserve">– Sete Lagoas / MG </w:t>
    </w:r>
    <w:r>
      <w:rPr>
        <w:sz w:val="18"/>
      </w:rPr>
      <w:t>–</w:t>
    </w:r>
    <w:r w:rsidRPr="008D6C3E">
      <w:rPr>
        <w:sz w:val="18"/>
      </w:rPr>
      <w:t xml:space="preserve"> </w:t>
    </w:r>
  </w:p>
  <w:p w:rsidR="006B27C6" w:rsidRDefault="006B27C6" w:rsidP="006B27C6">
    <w:pPr>
      <w:pStyle w:val="Cabealho"/>
      <w:jc w:val="center"/>
      <w:rPr>
        <w:rStyle w:val="Hyperlink"/>
        <w:sz w:val="18"/>
      </w:rPr>
    </w:pPr>
    <w:r w:rsidRPr="008D6C3E">
      <w:rPr>
        <w:sz w:val="18"/>
      </w:rPr>
      <w:t>CEP: 35700-</w:t>
    </w:r>
    <w:r>
      <w:rPr>
        <w:sz w:val="18"/>
      </w:rPr>
      <w:t xml:space="preserve">177 - </w:t>
    </w:r>
    <w:r w:rsidRPr="008D6C3E">
      <w:rPr>
        <w:sz w:val="18"/>
      </w:rPr>
      <w:t xml:space="preserve">Fone: 31 3779-6300 | E-mail: </w:t>
    </w:r>
    <w:hyperlink r:id="rId3" w:history="1">
      <w:r w:rsidRPr="00D20C88">
        <w:rPr>
          <w:rStyle w:val="Hyperlink"/>
          <w:sz w:val="18"/>
        </w:rPr>
        <w:t>atendimento@camarasete.mg.gov.br</w:t>
      </w:r>
    </w:hyperlink>
  </w:p>
  <w:p w:rsidR="003A2CFD" w:rsidRPr="006B27C6" w:rsidRDefault="003A2CFD" w:rsidP="006B27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
      <w:numFmt w:val="upperRoman"/>
      <w:lvlText w:val="%1 -"/>
      <w:lvlJc w:val="right"/>
      <w:pPr>
        <w:tabs>
          <w:tab w:val="num" w:pos="0"/>
        </w:tabs>
        <w:ind w:left="0" w:firstLine="0"/>
      </w:pPr>
      <w:rPr>
        <w:rFonts w:ascii="Times New Roman" w:hAnsi="Times New Roman"/>
        <w:b/>
        <w:i w:val="0"/>
        <w:sz w:val="18"/>
      </w:rPr>
    </w:lvl>
  </w:abstractNum>
  <w:abstractNum w:abstractNumId="1">
    <w:nsid w:val="1AB82D0F"/>
    <w:multiLevelType w:val="hybridMultilevel"/>
    <w:tmpl w:val="EE94564E"/>
    <w:lvl w:ilvl="0" w:tplc="054C94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C474CEB"/>
    <w:multiLevelType w:val="hybridMultilevel"/>
    <w:tmpl w:val="93104794"/>
    <w:lvl w:ilvl="0" w:tplc="0FF816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348A4DD6"/>
    <w:multiLevelType w:val="hybridMultilevel"/>
    <w:tmpl w:val="F3EA00B6"/>
    <w:lvl w:ilvl="0" w:tplc="CF14D64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1E6193D"/>
    <w:multiLevelType w:val="hybridMultilevel"/>
    <w:tmpl w:val="143ECAF8"/>
    <w:lvl w:ilvl="0" w:tplc="34E6AC6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560E190B"/>
    <w:multiLevelType w:val="hybridMultilevel"/>
    <w:tmpl w:val="5CB8589A"/>
    <w:lvl w:ilvl="0" w:tplc="8B884F0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5"/>
    <w:rsid w:val="00000CB3"/>
    <w:rsid w:val="00002BBE"/>
    <w:rsid w:val="000129D8"/>
    <w:rsid w:val="000252D4"/>
    <w:rsid w:val="0002717A"/>
    <w:rsid w:val="00040F57"/>
    <w:rsid w:val="0004204A"/>
    <w:rsid w:val="0004638B"/>
    <w:rsid w:val="0004768A"/>
    <w:rsid w:val="0006265A"/>
    <w:rsid w:val="00081423"/>
    <w:rsid w:val="00085DC8"/>
    <w:rsid w:val="00087886"/>
    <w:rsid w:val="000929D3"/>
    <w:rsid w:val="000B107F"/>
    <w:rsid w:val="000B7BF3"/>
    <w:rsid w:val="000C7375"/>
    <w:rsid w:val="000D2232"/>
    <w:rsid w:val="000D7855"/>
    <w:rsid w:val="000D78D4"/>
    <w:rsid w:val="000D7938"/>
    <w:rsid w:val="00100318"/>
    <w:rsid w:val="00111DD2"/>
    <w:rsid w:val="001274D7"/>
    <w:rsid w:val="0014229A"/>
    <w:rsid w:val="00154A57"/>
    <w:rsid w:val="00170572"/>
    <w:rsid w:val="00171D3E"/>
    <w:rsid w:val="00186E40"/>
    <w:rsid w:val="00195A94"/>
    <w:rsid w:val="001B4458"/>
    <w:rsid w:val="001F56FA"/>
    <w:rsid w:val="002020E2"/>
    <w:rsid w:val="002078D1"/>
    <w:rsid w:val="0022450B"/>
    <w:rsid w:val="00235AD7"/>
    <w:rsid w:val="0023707C"/>
    <w:rsid w:val="00246814"/>
    <w:rsid w:val="00266AE9"/>
    <w:rsid w:val="00290891"/>
    <w:rsid w:val="002B129E"/>
    <w:rsid w:val="002B295C"/>
    <w:rsid w:val="002D6471"/>
    <w:rsid w:val="002F0213"/>
    <w:rsid w:val="003002E5"/>
    <w:rsid w:val="00314FEE"/>
    <w:rsid w:val="00332100"/>
    <w:rsid w:val="00332E44"/>
    <w:rsid w:val="00346A55"/>
    <w:rsid w:val="00347B37"/>
    <w:rsid w:val="00361847"/>
    <w:rsid w:val="00381515"/>
    <w:rsid w:val="003939C7"/>
    <w:rsid w:val="003A2CFD"/>
    <w:rsid w:val="003B42D3"/>
    <w:rsid w:val="003C497B"/>
    <w:rsid w:val="003C57EE"/>
    <w:rsid w:val="003D7A7B"/>
    <w:rsid w:val="003E2450"/>
    <w:rsid w:val="003E66F6"/>
    <w:rsid w:val="003E7DE0"/>
    <w:rsid w:val="00410A86"/>
    <w:rsid w:val="00415A6D"/>
    <w:rsid w:val="00415F44"/>
    <w:rsid w:val="004209D1"/>
    <w:rsid w:val="00420DBE"/>
    <w:rsid w:val="00423615"/>
    <w:rsid w:val="00456795"/>
    <w:rsid w:val="00485C20"/>
    <w:rsid w:val="00490337"/>
    <w:rsid w:val="00492800"/>
    <w:rsid w:val="004A0CE1"/>
    <w:rsid w:val="004A556F"/>
    <w:rsid w:val="004A78F7"/>
    <w:rsid w:val="004B4F2A"/>
    <w:rsid w:val="004C09A9"/>
    <w:rsid w:val="004C36F5"/>
    <w:rsid w:val="004C542B"/>
    <w:rsid w:val="004D1B77"/>
    <w:rsid w:val="004F0D10"/>
    <w:rsid w:val="004F1EB7"/>
    <w:rsid w:val="004F3B66"/>
    <w:rsid w:val="00501514"/>
    <w:rsid w:val="00503D35"/>
    <w:rsid w:val="00577AA5"/>
    <w:rsid w:val="005B2403"/>
    <w:rsid w:val="005B2F73"/>
    <w:rsid w:val="005B41DC"/>
    <w:rsid w:val="005C4439"/>
    <w:rsid w:val="005D7F32"/>
    <w:rsid w:val="005E5AD5"/>
    <w:rsid w:val="005E5B30"/>
    <w:rsid w:val="00611940"/>
    <w:rsid w:val="006323F0"/>
    <w:rsid w:val="00634354"/>
    <w:rsid w:val="00662BB4"/>
    <w:rsid w:val="0066565D"/>
    <w:rsid w:val="0067022C"/>
    <w:rsid w:val="006842EA"/>
    <w:rsid w:val="006A41AD"/>
    <w:rsid w:val="006B27C6"/>
    <w:rsid w:val="006C150C"/>
    <w:rsid w:val="006C6273"/>
    <w:rsid w:val="006C6410"/>
    <w:rsid w:val="0070476A"/>
    <w:rsid w:val="00712BA5"/>
    <w:rsid w:val="007176DF"/>
    <w:rsid w:val="00721B2D"/>
    <w:rsid w:val="007232BD"/>
    <w:rsid w:val="00725754"/>
    <w:rsid w:val="00732757"/>
    <w:rsid w:val="007443F6"/>
    <w:rsid w:val="00750A9F"/>
    <w:rsid w:val="00753CAC"/>
    <w:rsid w:val="007563F3"/>
    <w:rsid w:val="0076384B"/>
    <w:rsid w:val="007702E5"/>
    <w:rsid w:val="00782FC5"/>
    <w:rsid w:val="007D2F00"/>
    <w:rsid w:val="007D3DD2"/>
    <w:rsid w:val="007D6086"/>
    <w:rsid w:val="007E2428"/>
    <w:rsid w:val="007E2CED"/>
    <w:rsid w:val="007F14DF"/>
    <w:rsid w:val="00814A97"/>
    <w:rsid w:val="008343F2"/>
    <w:rsid w:val="00836B17"/>
    <w:rsid w:val="00837749"/>
    <w:rsid w:val="00852285"/>
    <w:rsid w:val="00865EDC"/>
    <w:rsid w:val="00884E7B"/>
    <w:rsid w:val="008976B7"/>
    <w:rsid w:val="008B6E08"/>
    <w:rsid w:val="008C10D0"/>
    <w:rsid w:val="008D2D64"/>
    <w:rsid w:val="008E3C9E"/>
    <w:rsid w:val="008F135B"/>
    <w:rsid w:val="008F13AE"/>
    <w:rsid w:val="008F3375"/>
    <w:rsid w:val="008F7C37"/>
    <w:rsid w:val="00903C08"/>
    <w:rsid w:val="0092272F"/>
    <w:rsid w:val="00943C36"/>
    <w:rsid w:val="009475A4"/>
    <w:rsid w:val="00947B56"/>
    <w:rsid w:val="009549DF"/>
    <w:rsid w:val="009766BF"/>
    <w:rsid w:val="009801FF"/>
    <w:rsid w:val="009836DE"/>
    <w:rsid w:val="009B642D"/>
    <w:rsid w:val="009C249D"/>
    <w:rsid w:val="009C3D0B"/>
    <w:rsid w:val="009E050E"/>
    <w:rsid w:val="009E08FD"/>
    <w:rsid w:val="009E5087"/>
    <w:rsid w:val="009E6C92"/>
    <w:rsid w:val="00A034ED"/>
    <w:rsid w:val="00A2486C"/>
    <w:rsid w:val="00A54B69"/>
    <w:rsid w:val="00A54C83"/>
    <w:rsid w:val="00A7673D"/>
    <w:rsid w:val="00A92612"/>
    <w:rsid w:val="00A9736B"/>
    <w:rsid w:val="00AB2FCC"/>
    <w:rsid w:val="00AD6E3B"/>
    <w:rsid w:val="00AE33B0"/>
    <w:rsid w:val="00AF5937"/>
    <w:rsid w:val="00B01B75"/>
    <w:rsid w:val="00B171C6"/>
    <w:rsid w:val="00B20459"/>
    <w:rsid w:val="00B22F7A"/>
    <w:rsid w:val="00B3566F"/>
    <w:rsid w:val="00B367C7"/>
    <w:rsid w:val="00B37C73"/>
    <w:rsid w:val="00B442A0"/>
    <w:rsid w:val="00B449D8"/>
    <w:rsid w:val="00B467AA"/>
    <w:rsid w:val="00B47993"/>
    <w:rsid w:val="00B62406"/>
    <w:rsid w:val="00B8392E"/>
    <w:rsid w:val="00B87483"/>
    <w:rsid w:val="00B9302E"/>
    <w:rsid w:val="00BA20CE"/>
    <w:rsid w:val="00BB1D1F"/>
    <w:rsid w:val="00BB6E63"/>
    <w:rsid w:val="00BC3714"/>
    <w:rsid w:val="00BC44A9"/>
    <w:rsid w:val="00BF3440"/>
    <w:rsid w:val="00BF59D4"/>
    <w:rsid w:val="00C03CF8"/>
    <w:rsid w:val="00C16B7B"/>
    <w:rsid w:val="00C44B99"/>
    <w:rsid w:val="00C85855"/>
    <w:rsid w:val="00C971F0"/>
    <w:rsid w:val="00CA0E35"/>
    <w:rsid w:val="00CA16FA"/>
    <w:rsid w:val="00CA6C16"/>
    <w:rsid w:val="00CB164F"/>
    <w:rsid w:val="00CB1B7C"/>
    <w:rsid w:val="00CC5359"/>
    <w:rsid w:val="00CD3869"/>
    <w:rsid w:val="00CD5820"/>
    <w:rsid w:val="00CE049D"/>
    <w:rsid w:val="00CE77C2"/>
    <w:rsid w:val="00CF4F42"/>
    <w:rsid w:val="00CF65AB"/>
    <w:rsid w:val="00D004C3"/>
    <w:rsid w:val="00D055E5"/>
    <w:rsid w:val="00D10389"/>
    <w:rsid w:val="00D1170E"/>
    <w:rsid w:val="00D161C5"/>
    <w:rsid w:val="00D45F08"/>
    <w:rsid w:val="00D60FB9"/>
    <w:rsid w:val="00D61549"/>
    <w:rsid w:val="00D639E5"/>
    <w:rsid w:val="00D70C88"/>
    <w:rsid w:val="00D7244D"/>
    <w:rsid w:val="00D82025"/>
    <w:rsid w:val="00D91515"/>
    <w:rsid w:val="00D9725D"/>
    <w:rsid w:val="00DA0DE9"/>
    <w:rsid w:val="00DA6064"/>
    <w:rsid w:val="00DA76A1"/>
    <w:rsid w:val="00DC1F87"/>
    <w:rsid w:val="00DC7149"/>
    <w:rsid w:val="00DE64D2"/>
    <w:rsid w:val="00DE7C73"/>
    <w:rsid w:val="00DF0ABB"/>
    <w:rsid w:val="00E01C86"/>
    <w:rsid w:val="00E05796"/>
    <w:rsid w:val="00E07492"/>
    <w:rsid w:val="00E16A5D"/>
    <w:rsid w:val="00E23400"/>
    <w:rsid w:val="00E23576"/>
    <w:rsid w:val="00E2619F"/>
    <w:rsid w:val="00E30538"/>
    <w:rsid w:val="00E336F3"/>
    <w:rsid w:val="00E44094"/>
    <w:rsid w:val="00E47F96"/>
    <w:rsid w:val="00E51744"/>
    <w:rsid w:val="00E80AAA"/>
    <w:rsid w:val="00E85718"/>
    <w:rsid w:val="00E93875"/>
    <w:rsid w:val="00EA4A46"/>
    <w:rsid w:val="00EA65F0"/>
    <w:rsid w:val="00EA6A1A"/>
    <w:rsid w:val="00EA6D48"/>
    <w:rsid w:val="00EB1263"/>
    <w:rsid w:val="00EB57DE"/>
    <w:rsid w:val="00EC0E78"/>
    <w:rsid w:val="00EC6D9F"/>
    <w:rsid w:val="00ED4EBD"/>
    <w:rsid w:val="00EF1A4F"/>
    <w:rsid w:val="00F11A8A"/>
    <w:rsid w:val="00F2710A"/>
    <w:rsid w:val="00F30F25"/>
    <w:rsid w:val="00F3457A"/>
    <w:rsid w:val="00F37188"/>
    <w:rsid w:val="00F51008"/>
    <w:rsid w:val="00F522F9"/>
    <w:rsid w:val="00F572B4"/>
    <w:rsid w:val="00F727F6"/>
    <w:rsid w:val="00F8604C"/>
    <w:rsid w:val="00F92C85"/>
    <w:rsid w:val="00F96658"/>
    <w:rsid w:val="00FA0CC7"/>
    <w:rsid w:val="00FB16DF"/>
    <w:rsid w:val="00FC65C9"/>
    <w:rsid w:val="00FD1025"/>
    <w:rsid w:val="00FD2EA4"/>
    <w:rsid w:val="00FD3DF4"/>
    <w:rsid w:val="00FD6462"/>
    <w:rsid w:val="00FF25C5"/>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1754">
      <w:bodyDiv w:val="1"/>
      <w:marLeft w:val="0"/>
      <w:marRight w:val="0"/>
      <w:marTop w:val="0"/>
      <w:marBottom w:val="0"/>
      <w:divBdr>
        <w:top w:val="none" w:sz="0" w:space="0" w:color="auto"/>
        <w:left w:val="none" w:sz="0" w:space="0" w:color="auto"/>
        <w:bottom w:val="none" w:sz="0" w:space="0" w:color="auto"/>
        <w:right w:val="none" w:sz="0" w:space="0" w:color="auto"/>
      </w:divBdr>
    </w:div>
    <w:div w:id="1014304294">
      <w:bodyDiv w:val="1"/>
      <w:marLeft w:val="0"/>
      <w:marRight w:val="0"/>
      <w:marTop w:val="0"/>
      <w:marBottom w:val="0"/>
      <w:divBdr>
        <w:top w:val="none" w:sz="0" w:space="0" w:color="auto"/>
        <w:left w:val="none" w:sz="0" w:space="0" w:color="auto"/>
        <w:bottom w:val="none" w:sz="0" w:space="0" w:color="auto"/>
        <w:right w:val="none" w:sz="0" w:space="0" w:color="auto"/>
      </w:divBdr>
    </w:div>
    <w:div w:id="1751073239">
      <w:bodyDiv w:val="1"/>
      <w:marLeft w:val="0"/>
      <w:marRight w:val="0"/>
      <w:marTop w:val="0"/>
      <w:marBottom w:val="0"/>
      <w:divBdr>
        <w:top w:val="none" w:sz="0" w:space="0" w:color="auto"/>
        <w:left w:val="none" w:sz="0" w:space="0" w:color="auto"/>
        <w:bottom w:val="none" w:sz="0" w:space="0" w:color="auto"/>
        <w:right w:val="none" w:sz="0" w:space="0" w:color="auto"/>
      </w:divBdr>
    </w:div>
    <w:div w:id="1865634086">
      <w:bodyDiv w:val="1"/>
      <w:marLeft w:val="0"/>
      <w:marRight w:val="0"/>
      <w:marTop w:val="0"/>
      <w:marBottom w:val="0"/>
      <w:divBdr>
        <w:top w:val="none" w:sz="0" w:space="0" w:color="auto"/>
        <w:left w:val="none" w:sz="0" w:space="0" w:color="auto"/>
        <w:bottom w:val="none" w:sz="0" w:space="0" w:color="auto"/>
        <w:right w:val="none" w:sz="0" w:space="0" w:color="auto"/>
      </w:divBdr>
    </w:div>
    <w:div w:id="1907181452">
      <w:bodyDiv w:val="1"/>
      <w:marLeft w:val="0"/>
      <w:marRight w:val="0"/>
      <w:marTop w:val="0"/>
      <w:marBottom w:val="0"/>
      <w:divBdr>
        <w:top w:val="none" w:sz="0" w:space="0" w:color="auto"/>
        <w:left w:val="none" w:sz="0" w:space="0" w:color="auto"/>
        <w:bottom w:val="none" w:sz="0" w:space="0" w:color="auto"/>
        <w:right w:val="none" w:sz="0" w:space="0" w:color="auto"/>
      </w:divBdr>
    </w:div>
    <w:div w:id="2026319664">
      <w:bodyDiv w:val="1"/>
      <w:marLeft w:val="0"/>
      <w:marRight w:val="0"/>
      <w:marTop w:val="0"/>
      <w:marBottom w:val="0"/>
      <w:divBdr>
        <w:top w:val="none" w:sz="0" w:space="0" w:color="auto"/>
        <w:left w:val="none" w:sz="0" w:space="0" w:color="auto"/>
        <w:bottom w:val="none" w:sz="0" w:space="0" w:color="auto"/>
        <w:right w:val="none" w:sz="0" w:space="0" w:color="auto"/>
      </w:divBdr>
    </w:div>
    <w:div w:id="21225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planalto.gov.br/ccivil_03/Constituicao/Emendas/Emc/emc32.htm" TargetMode="External"/><Relationship Id="rId4" Type="http://schemas.microsoft.com/office/2007/relationships/stylesWithEffects" Target="stylesWithEffects.xml"/><Relationship Id="rId9" Type="http://schemas.openxmlformats.org/officeDocument/2006/relationships/hyperlink" Target="http://www.planalto.gov.br/ccivil_03/Constituicao/Emendas/Emc/emc18.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589A-BFEB-463D-91A7-C0BE20DB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3036</Words>
  <Characters>16398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2017-12-18T19:10:00Z</cp:lastPrinted>
  <dcterms:created xsi:type="dcterms:W3CDTF">2019-09-24T14:10:00Z</dcterms:created>
  <dcterms:modified xsi:type="dcterms:W3CDTF">2019-09-24T14:10:00Z</dcterms:modified>
</cp:coreProperties>
</file>