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BF" w:rsidRDefault="00857ABF" w:rsidP="00A14F1F">
      <w:pPr>
        <w:rPr>
          <w:rFonts w:ascii="Verdana" w:hAnsi="Verdana" w:cs="DejaVu Sans"/>
          <w:b/>
          <w:bCs/>
        </w:rPr>
      </w:pPr>
      <w:bookmarkStart w:id="0" w:name="_GoBack"/>
      <w:bookmarkEnd w:id="0"/>
    </w:p>
    <w:p w:rsidR="00A14F1F" w:rsidRDefault="00857ABF" w:rsidP="00A14F1F">
      <w:pPr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>PAR</w:t>
      </w:r>
      <w:r w:rsidR="00A14F1F">
        <w:rPr>
          <w:rFonts w:ascii="Verdana" w:hAnsi="Verdana" w:cs="DejaVu Sans"/>
          <w:b/>
          <w:bCs/>
        </w:rPr>
        <w:t>ECER REGIMENTAL</w:t>
      </w:r>
    </w:p>
    <w:p w:rsidR="00A14F1F" w:rsidRDefault="00A14F1F" w:rsidP="00A14F1F">
      <w:pPr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>COMISSÃO DE LEGISLAÇÃO E JUSTIÇA-CLJ</w:t>
      </w:r>
    </w:p>
    <w:p w:rsidR="00A14F1F" w:rsidRDefault="00A14F1F" w:rsidP="00A14F1F">
      <w:pPr>
        <w:rPr>
          <w:rFonts w:ascii="Verdana" w:hAnsi="Verdana" w:cs="DejaVu Sans"/>
          <w:b/>
          <w:bCs/>
        </w:rPr>
      </w:pPr>
    </w:p>
    <w:p w:rsidR="00A14F1F" w:rsidRDefault="00A14F1F" w:rsidP="00857ABF">
      <w:pPr>
        <w:jc w:val="both"/>
        <w:rPr>
          <w:rFonts w:ascii="Verdana" w:hAnsi="Verdana" w:cs="DejaVu Sans"/>
          <w:b/>
          <w:bCs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Antep</w:t>
      </w:r>
      <w:r w:rsidR="00857ABF">
        <w:rPr>
          <w:rFonts w:ascii="Verdana" w:hAnsi="Verdana" w:cs="DejaVu Sans"/>
        </w:rPr>
        <w:t>rojeto de Lei nº 345/2019</w:t>
      </w:r>
      <w:r>
        <w:rPr>
          <w:rFonts w:ascii="Verdana" w:hAnsi="Verdana" w:cs="DejaVu Sans"/>
        </w:rPr>
        <w:t xml:space="preserve"> - “Determina a inclusão de conteúdo</w:t>
      </w:r>
      <w:r w:rsidR="00857ABF">
        <w:rPr>
          <w:rFonts w:ascii="Verdana" w:hAnsi="Verdana" w:cs="DejaVu Sans"/>
        </w:rPr>
        <w:t>s referentes à história de Sete Lagoas nos currículos das escolas públicas municipais”.</w:t>
      </w:r>
    </w:p>
    <w:p w:rsidR="00A14F1F" w:rsidRDefault="00A14F1F" w:rsidP="00A14F1F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>
        <w:rPr>
          <w:rFonts w:ascii="Verdana" w:hAnsi="Verdana" w:cs="DejaVu Sans"/>
        </w:rPr>
        <w:t xml:space="preserve"> Vereador Alcides Longo de Barros.</w:t>
      </w:r>
    </w:p>
    <w:p w:rsidR="00A14F1F" w:rsidRDefault="00A14F1F" w:rsidP="00A14F1F">
      <w:pPr>
        <w:rPr>
          <w:rFonts w:ascii="Verdana" w:hAnsi="Verdana" w:cs="Times New Roman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u w:val="single"/>
        </w:rPr>
      </w:pPr>
    </w:p>
    <w:p w:rsidR="00A14F1F" w:rsidRDefault="00A14F1F" w:rsidP="00857A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proposição acima referenciada, cuja autoria pertence a membro desta edilidade, visa a incluir no plano curricular da rede municipal de ensino, conteúdos e </w:t>
      </w:r>
      <w:r w:rsidR="00857ABF">
        <w:rPr>
          <w:rFonts w:ascii="Verdana" w:hAnsi="Verdana" w:cs="DejaVu Sans"/>
        </w:rPr>
        <w:t>atividades relativos à História de Sete Lagoas</w:t>
      </w:r>
      <w:r>
        <w:rPr>
          <w:rFonts w:ascii="Verdana" w:hAnsi="Verdana" w:cs="DejaVu Sans"/>
        </w:rPr>
        <w:t>, a serem desenvolvidos de forma interdisciplinar.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anteprojeto foi distribuído a esta Comissão de Legislação e Justiça para receber parecer quanto aos aspectos de sua juridicidade, constitucionalidade e legalidade, nos termos do disposto </w:t>
      </w:r>
      <w:proofErr w:type="gramStart"/>
      <w:r>
        <w:rPr>
          <w:rFonts w:ascii="Verdana" w:hAnsi="Verdana" w:cs="DejaVu Sans"/>
        </w:rPr>
        <w:t>no  art.</w:t>
      </w:r>
      <w:proofErr w:type="gramEnd"/>
      <w:r>
        <w:rPr>
          <w:rFonts w:ascii="Verdana" w:hAnsi="Verdana" w:cs="DejaVu Sans"/>
        </w:rPr>
        <w:t xml:space="preserve"> 69 e § 1º do art. 83 do Regimento Interno.</w:t>
      </w:r>
    </w:p>
    <w:p w:rsidR="00A14F1F" w:rsidRDefault="00857ABF" w:rsidP="00A14F1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à reunião </w:t>
      </w:r>
      <w:proofErr w:type="gramStart"/>
      <w:r>
        <w:rPr>
          <w:rFonts w:ascii="Verdana" w:hAnsi="Verdana" w:cs="DejaVu Sans"/>
        </w:rPr>
        <w:t xml:space="preserve">a </w:t>
      </w:r>
      <w:r w:rsidR="00A14F1F">
        <w:rPr>
          <w:rFonts w:ascii="Verdana" w:hAnsi="Verdana" w:cs="DejaVu Sans"/>
        </w:rPr>
        <w:t xml:space="preserve"> Vereador</w:t>
      </w:r>
      <w:r>
        <w:rPr>
          <w:rFonts w:ascii="Verdana" w:hAnsi="Verdana" w:cs="DejaVu Sans"/>
        </w:rPr>
        <w:t>a</w:t>
      </w:r>
      <w:proofErr w:type="gramEnd"/>
      <w:r>
        <w:rPr>
          <w:rFonts w:ascii="Verdana" w:hAnsi="Verdana" w:cs="DejaVu Sans"/>
        </w:rPr>
        <w:t xml:space="preserve"> Marli Aparecida Barbosa</w:t>
      </w:r>
      <w:r w:rsidR="00A14F1F">
        <w:rPr>
          <w:rFonts w:ascii="Verdana" w:hAnsi="Verdana" w:cs="DejaVu Sans"/>
        </w:rPr>
        <w:t xml:space="preserve"> (presidente), o Vereador Euro de Andrade (relator) e o Vereador José Pereira da Silva, além de membros da Procuradoria Geral do Legislativo, assessores de gabinetes e munícipes.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Fundamentação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u w:val="single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Feitas as considerações de ordem técnica pela Procuradoria Geral do Legislativo, após as discussões entre os membros desta Comissão, passo a relatar o que se segue.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A Constituição Federal disciplina acerca da Educação nos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205 a 214, traçando os parâmetros para a atuação estatal na área educacional. Nesse sentido, o art. 211 da Carta Magna estabelece um modelo de cooperação entre os sistemas de ensino das entidades federativas, atribuindo um campo prioritário de atuação a cada uma delas. De acordo com o referido sistema, cabe ao Município atuar, prioritariamente, no ensino fundamental e infantil.</w:t>
      </w:r>
    </w:p>
    <w:p w:rsidR="00A14F1F" w:rsidRDefault="00A14F1F" w:rsidP="00A14F1F">
      <w:pPr>
        <w:ind w:firstLine="2295"/>
        <w:jc w:val="both"/>
        <w:rPr>
          <w:rFonts w:ascii="Verdana" w:hAnsi="Verdana"/>
        </w:rPr>
      </w:pPr>
      <w:r>
        <w:rPr>
          <w:rFonts w:ascii="Verdana" w:hAnsi="Verdana" w:cs="DejaVu Sans"/>
        </w:rPr>
        <w:lastRenderedPageBreak/>
        <w:t>À União compete editar normas referentes às diretrizes e bases da educação nacional (art. 22, XXIV</w:t>
      </w:r>
      <w:r w:rsidR="00857ABF">
        <w:rPr>
          <w:rFonts w:ascii="Verdana" w:hAnsi="Verdana" w:cs="DejaVu Sans"/>
        </w:rPr>
        <w:t xml:space="preserve"> da CF</w:t>
      </w:r>
      <w:r>
        <w:rPr>
          <w:rFonts w:ascii="Verdana" w:hAnsi="Verdana" w:cs="DejaVu Sans"/>
        </w:rPr>
        <w:t>), cabendo ao Município criar e manter escolas ou cursos de qualquer espécie ou grau, de acordo com o seu sistema de ensino, devendo, prioritariamente, dedicar-se ao ensino fundamental (art. 211, § 2º</w:t>
      </w:r>
      <w:r w:rsidR="00857ABF">
        <w:rPr>
          <w:rFonts w:ascii="Verdana" w:hAnsi="Verdana" w:cs="DejaVu Sans"/>
        </w:rPr>
        <w:t xml:space="preserve"> da CF</w:t>
      </w:r>
      <w:r>
        <w:rPr>
          <w:rFonts w:ascii="Verdana" w:hAnsi="Verdana" w:cs="DejaVu Sans"/>
        </w:rPr>
        <w:t>).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se tratando da Educação, vale destacar alguns dispositivos da Lei</w:t>
      </w:r>
      <w:r w:rsidR="00857ABF">
        <w:rPr>
          <w:rFonts w:ascii="Verdana" w:hAnsi="Verdana" w:cs="DejaVu Sans"/>
        </w:rPr>
        <w:t xml:space="preserve"> Federal</w:t>
      </w:r>
      <w:r>
        <w:rPr>
          <w:rFonts w:ascii="Verdana" w:hAnsi="Verdana" w:cs="DejaVu Sans"/>
        </w:rPr>
        <w:t xml:space="preserve"> nº 9.394/96, que estabelece as Diretrizes e Bases da Educação Nacional: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“Art. 8º A União, os Estados, o Distrito Federal e os Município organizarão, em regime de colaboração, os respectivos sistemas de ensino.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..........................................................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§ 2º Os sistemas de ensino terão liberdade de organização nos termos desta lei.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.........................................................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“Art. 11. Os Municípios incumbir-se-ão de: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(...)</w:t>
      </w:r>
    </w:p>
    <w:p w:rsidR="00A14F1F" w:rsidRDefault="00A14F1F" w:rsidP="00A14F1F">
      <w:pPr>
        <w:jc w:val="both"/>
        <w:rPr>
          <w:rFonts w:ascii="Verdana" w:hAnsi="Verdana" w:cs="DejaVu Sans"/>
          <w:i/>
          <w:sz w:val="18"/>
          <w:szCs w:val="18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III-baixar normas complementares para o seu sistema de ensino.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>........................................................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  <w:i/>
          <w:sz w:val="18"/>
          <w:szCs w:val="18"/>
        </w:rPr>
      </w:pPr>
      <w:r>
        <w:rPr>
          <w:rFonts w:ascii="Verdana" w:hAnsi="Verdana" w:cs="DejaVu Sans"/>
          <w:i/>
          <w:sz w:val="18"/>
          <w:szCs w:val="18"/>
        </w:rPr>
        <w:t xml:space="preserve">“Art. 26. Os currículos do ensino fundamental e médio devem ter uma base nacional comum, a ser complementada, em cada sistema de ensino e estabelecimento escolar, por uma parte diversificada, exigida pelas características regionais e locais da sociedade, da cultura, da economia e da </w:t>
      </w:r>
      <w:proofErr w:type="gramStart"/>
      <w:r>
        <w:rPr>
          <w:rFonts w:ascii="Verdana" w:hAnsi="Verdana" w:cs="DejaVu Sans"/>
          <w:i/>
          <w:sz w:val="18"/>
          <w:szCs w:val="18"/>
        </w:rPr>
        <w:t>clientela.”</w:t>
      </w:r>
      <w:proofErr w:type="gramEnd"/>
      <w:r>
        <w:rPr>
          <w:rFonts w:ascii="Verdana" w:hAnsi="Verdana" w:cs="DejaVu Sans"/>
          <w:i/>
          <w:sz w:val="18"/>
          <w:szCs w:val="18"/>
        </w:rPr>
        <w:t>.</w:t>
      </w:r>
    </w:p>
    <w:p w:rsidR="00A14F1F" w:rsidRDefault="00A14F1F" w:rsidP="00A14F1F">
      <w:pPr>
        <w:rPr>
          <w:rFonts w:ascii="Verdana" w:hAnsi="Verdana" w:cs="Times New Roman"/>
        </w:rPr>
      </w:pPr>
    </w:p>
    <w:p w:rsidR="00A14F1F" w:rsidRDefault="00A14F1F" w:rsidP="00A14F1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Os parágrafos do artigo 26 tratam da base nacional comum dos currículos. A essa base comum, pode o Município, atendendo a suas peculiaridades locais, instituir disciplinas a serem ministradas pelas escolas de forma complementar, nos termos de cada projeto pedagógico. </w:t>
      </w:r>
    </w:p>
    <w:p w:rsidR="00A14F1F" w:rsidRDefault="00A14F1F" w:rsidP="00A14F1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Diante do exposto, pode-se observar que a matéria em questão se encontra inscrita entre os assuntos de interesse da coletividade, sendo o Município compete</w:t>
      </w:r>
      <w:r w:rsidR="003C7A54">
        <w:rPr>
          <w:rFonts w:ascii="Verdana" w:hAnsi="Verdana"/>
        </w:rPr>
        <w:t>nte para dispor sobre a questão</w:t>
      </w:r>
      <w:r>
        <w:rPr>
          <w:rFonts w:ascii="Verdana" w:hAnsi="Verdana"/>
        </w:rPr>
        <w:t xml:space="preserve">, mediante regulamentação a respeito, em cumprimento, inclusive </w:t>
      </w:r>
      <w:proofErr w:type="gramStart"/>
      <w:r>
        <w:rPr>
          <w:rFonts w:ascii="Verdana" w:hAnsi="Verdana"/>
        </w:rPr>
        <w:t>à  legislação</w:t>
      </w:r>
      <w:proofErr w:type="gramEnd"/>
      <w:r>
        <w:rPr>
          <w:rFonts w:ascii="Verdana" w:hAnsi="Verdana"/>
        </w:rPr>
        <w:t xml:space="preserve"> nacional supracitada.</w:t>
      </w:r>
    </w:p>
    <w:p w:rsidR="00A14F1F" w:rsidRDefault="00A14F1F" w:rsidP="00A14F1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Quanto a iniciativa para apresentação de tal propositura, tem-se que, não se encontrando delineada no ordenamento constitucional ou municipal como sendo de competência restrita de um ou de outro Poder municipal, a apresentação de projeto de lei que disponha sobre a inclusão curricular, em princípio, poderia ter origem no Poder Legislativo.</w:t>
      </w:r>
    </w:p>
    <w:p w:rsidR="00A14F1F" w:rsidRDefault="00A14F1F" w:rsidP="003C7A54">
      <w:pPr>
        <w:jc w:val="both"/>
        <w:rPr>
          <w:rFonts w:ascii="Verdana" w:hAnsi="Verdana" w:cs="DejaVu Sans"/>
        </w:rPr>
      </w:pPr>
      <w:r>
        <w:rPr>
          <w:rFonts w:ascii="Verdana" w:hAnsi="Verdana"/>
        </w:rPr>
        <w:lastRenderedPageBreak/>
        <w:t xml:space="preserve">                          No entanto, muito embora à primeira vista possa nascer na Câmara Municipal tal propositura, em respeito ao princípio fundamental da separação e independência dos Poderes e considerando ser o Poder Executivo o responsável pela organização do en</w:t>
      </w:r>
      <w:r w:rsidR="00A60CAF">
        <w:rPr>
          <w:rFonts w:ascii="Verdana" w:hAnsi="Verdana"/>
        </w:rPr>
        <w:t xml:space="preserve">sino municipal, </w:t>
      </w:r>
      <w:r>
        <w:rPr>
          <w:rFonts w:ascii="Verdana" w:hAnsi="Verdana"/>
        </w:rPr>
        <w:t>entendo que o encaminhamento</w:t>
      </w:r>
      <w:r>
        <w:rPr>
          <w:rFonts w:ascii="Verdana" w:hAnsi="Verdana" w:cs="DejaVu Sans"/>
        </w:rPr>
        <w:t xml:space="preserve"> sob a forma de anteprojeto de lei atende perfeitamente os ditames constitucionais e infraconstitucionais no que tange a matéria então versada.</w:t>
      </w:r>
    </w:p>
    <w:p w:rsidR="00A60CAF" w:rsidRDefault="00A60CAF" w:rsidP="00A14F1F">
      <w:pPr>
        <w:ind w:firstLine="2295"/>
        <w:jc w:val="both"/>
        <w:rPr>
          <w:rFonts w:ascii="Verdana" w:hAnsi="Verdana" w:cs="DejaVu Sans"/>
          <w:u w:val="single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Conclusão</w:t>
      </w:r>
    </w:p>
    <w:p w:rsidR="00A60CAF" w:rsidRDefault="00A60CAF" w:rsidP="00A14F1F">
      <w:pPr>
        <w:ind w:firstLine="2295"/>
        <w:jc w:val="both"/>
        <w:rPr>
          <w:rFonts w:ascii="Verdana" w:hAnsi="Verdana" w:cs="DejaVu Sans"/>
          <w:u w:val="single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face do exposto, este relator conclui pela juridicidade, constitucionalidade e legalid</w:t>
      </w:r>
      <w:r w:rsidR="003C7A54">
        <w:rPr>
          <w:rFonts w:ascii="Verdana" w:hAnsi="Verdana" w:cs="DejaVu Sans"/>
        </w:rPr>
        <w:t>ade do Anteprojeto de Lei nº 345/2019</w:t>
      </w:r>
      <w:r>
        <w:rPr>
          <w:rFonts w:ascii="Verdana" w:hAnsi="Verdana" w:cs="DejaVu Sans"/>
        </w:rPr>
        <w:t>.</w:t>
      </w:r>
      <w:r>
        <w:rPr>
          <w:rFonts w:ascii="Verdana" w:hAnsi="Verdana"/>
        </w:rPr>
        <w:t xml:space="preserve">                     </w:t>
      </w:r>
    </w:p>
    <w:p w:rsidR="00A60CAF" w:rsidRDefault="00A60CA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3C7A54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08 de agosto de 2019</w:t>
      </w:r>
      <w:r w:rsidR="00A14F1F">
        <w:rPr>
          <w:rFonts w:ascii="Verdana" w:hAnsi="Verdana" w:cs="DejaVu Sans"/>
        </w:rPr>
        <w:t>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Fabrício Augusto Carvalho do Nascimento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A14F1F" w:rsidRDefault="00A14F1F" w:rsidP="00A14F1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Default="002E3724" w:rsidP="006F65B8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      </w:t>
      </w:r>
    </w:p>
    <w:sectPr w:rsidR="002E372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635" w:rsidRDefault="001B5635" w:rsidP="00963EEE">
      <w:pPr>
        <w:spacing w:after="0" w:line="240" w:lineRule="auto"/>
      </w:pPr>
      <w:r>
        <w:separator/>
      </w:r>
    </w:p>
  </w:endnote>
  <w:endnote w:type="continuationSeparator" w:id="0">
    <w:p w:rsidR="001B5635" w:rsidRDefault="001B563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635" w:rsidRDefault="001B5635" w:rsidP="00963EEE">
      <w:pPr>
        <w:spacing w:after="0" w:line="240" w:lineRule="auto"/>
      </w:pPr>
      <w:r>
        <w:separator/>
      </w:r>
    </w:p>
  </w:footnote>
  <w:footnote w:type="continuationSeparator" w:id="0">
    <w:p w:rsidR="001B5635" w:rsidRDefault="001B563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524E"/>
    <w:rsid w:val="00142231"/>
    <w:rsid w:val="00150705"/>
    <w:rsid w:val="00153BD3"/>
    <w:rsid w:val="00167CCE"/>
    <w:rsid w:val="001B5635"/>
    <w:rsid w:val="001C5C0E"/>
    <w:rsid w:val="001D32FA"/>
    <w:rsid w:val="001D53F2"/>
    <w:rsid w:val="00224883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C7A54"/>
    <w:rsid w:val="003F21EA"/>
    <w:rsid w:val="003F7639"/>
    <w:rsid w:val="00405906"/>
    <w:rsid w:val="00440E49"/>
    <w:rsid w:val="00452F85"/>
    <w:rsid w:val="00477C68"/>
    <w:rsid w:val="004976CA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60D3"/>
    <w:rsid w:val="0061686C"/>
    <w:rsid w:val="00631917"/>
    <w:rsid w:val="00637F6F"/>
    <w:rsid w:val="006446A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401DB"/>
    <w:rsid w:val="00847210"/>
    <w:rsid w:val="008541C6"/>
    <w:rsid w:val="00857ABF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14F1F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438F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E36FB5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2019-09-04T17:26:00Z</cp:lastPrinted>
  <dcterms:created xsi:type="dcterms:W3CDTF">2019-09-04T18:01:00Z</dcterms:created>
  <dcterms:modified xsi:type="dcterms:W3CDTF">2019-09-04T18:01:00Z</dcterms:modified>
</cp:coreProperties>
</file>